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52D6" w14:textId="77777777" w:rsidR="0076601B" w:rsidRPr="00D021CC" w:rsidRDefault="0076601B" w:rsidP="00E60C25">
      <w:pPr>
        <w:ind w:left="397" w:right="397"/>
        <w:jc w:val="center"/>
        <w:rPr>
          <w:rFonts w:asciiTheme="minorHAnsi" w:hAnsiTheme="minorHAnsi" w:cs="Arial"/>
          <w:b/>
          <w:sz w:val="24"/>
          <w:szCs w:val="24"/>
        </w:rPr>
      </w:pPr>
      <w:bookmarkStart w:id="0" w:name="_GoBack"/>
      <w:bookmarkEnd w:id="0"/>
      <w:r w:rsidRPr="00D021CC">
        <w:rPr>
          <w:rFonts w:asciiTheme="minorHAnsi" w:hAnsiTheme="minorHAnsi"/>
          <w:b/>
          <w:noProof/>
          <w:sz w:val="24"/>
          <w:szCs w:val="24"/>
          <w:lang w:eastAsia="en-ZA"/>
        </w:rPr>
        <w:drawing>
          <wp:inline distT="0" distB="0" distL="0" distR="0" wp14:anchorId="324DAF9C" wp14:editId="6956B588">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22F4C5D8" w14:textId="77777777" w:rsidR="0076601B" w:rsidRPr="00D021CC" w:rsidRDefault="0076601B" w:rsidP="00196D4A">
      <w:pPr>
        <w:ind w:left="397" w:right="397"/>
        <w:rPr>
          <w:rFonts w:asciiTheme="minorHAnsi" w:hAnsiTheme="minorHAnsi" w:cs="Arial"/>
          <w:b/>
          <w:sz w:val="24"/>
          <w:szCs w:val="24"/>
        </w:rPr>
      </w:pPr>
    </w:p>
    <w:p w14:paraId="2356AABD" w14:textId="77777777" w:rsidR="0076601B" w:rsidRPr="00D021CC" w:rsidRDefault="0076601B" w:rsidP="00196D4A">
      <w:pPr>
        <w:ind w:left="397" w:right="397"/>
        <w:rPr>
          <w:rFonts w:asciiTheme="minorHAnsi" w:hAnsiTheme="minorHAnsi" w:cs="Arial"/>
          <w:b/>
          <w:sz w:val="24"/>
          <w:szCs w:val="24"/>
        </w:rPr>
      </w:pPr>
    </w:p>
    <w:p w14:paraId="4EE0E223" w14:textId="77777777" w:rsidR="0076601B" w:rsidRPr="00D021CC" w:rsidRDefault="00770875" w:rsidP="00196D4A">
      <w:pPr>
        <w:ind w:left="397" w:right="397"/>
        <w:rPr>
          <w:rFonts w:asciiTheme="minorHAnsi" w:hAnsiTheme="minorHAnsi" w:cs="Arial"/>
          <w:b/>
          <w:sz w:val="24"/>
          <w:szCs w:val="24"/>
        </w:rPr>
      </w:pPr>
      <w:r>
        <w:rPr>
          <w:rFonts w:asciiTheme="minorHAnsi" w:hAnsiTheme="minorHAnsi" w:cs="Arial"/>
          <w:b/>
          <w:sz w:val="24"/>
          <w:szCs w:val="24"/>
        </w:rPr>
        <w:t xml:space="preserve">OUTCOME OF </w:t>
      </w:r>
      <w:r w:rsidR="0076601B" w:rsidRPr="00D021CC">
        <w:rPr>
          <w:rFonts w:asciiTheme="minorHAnsi" w:hAnsiTheme="minorHAnsi" w:cs="Arial"/>
          <w:b/>
          <w:sz w:val="24"/>
          <w:szCs w:val="24"/>
        </w:rPr>
        <w:t>CASES - TRIBUN</w:t>
      </w:r>
      <w:r>
        <w:rPr>
          <w:rFonts w:asciiTheme="minorHAnsi" w:hAnsiTheme="minorHAnsi" w:cs="Arial"/>
          <w:b/>
          <w:sz w:val="24"/>
          <w:szCs w:val="24"/>
        </w:rPr>
        <w:t>AL ROLL FOR WEDNESDAY, 13</w:t>
      </w:r>
      <w:r w:rsidR="0076601B" w:rsidRPr="00D021CC">
        <w:rPr>
          <w:rFonts w:asciiTheme="minorHAnsi" w:hAnsiTheme="minorHAnsi" w:cs="Arial"/>
          <w:b/>
          <w:sz w:val="24"/>
          <w:szCs w:val="24"/>
        </w:rPr>
        <w:t xml:space="preserve"> SEPTEMBER 2017</w:t>
      </w:r>
    </w:p>
    <w:p w14:paraId="24502B83" w14:textId="77777777" w:rsidR="0076601B" w:rsidRPr="00D021CC" w:rsidRDefault="0076601B" w:rsidP="00196D4A">
      <w:pPr>
        <w:ind w:left="397" w:right="397"/>
        <w:rPr>
          <w:rFonts w:asciiTheme="minorHAnsi" w:hAnsiTheme="minorHAnsi" w:cs="Arial"/>
          <w:b/>
          <w:sz w:val="24"/>
          <w:szCs w:val="24"/>
        </w:rPr>
      </w:pPr>
    </w:p>
    <w:p w14:paraId="32A20F6A" w14:textId="77777777" w:rsidR="0076601B" w:rsidRPr="00D021CC" w:rsidRDefault="0076601B" w:rsidP="00196D4A">
      <w:pPr>
        <w:ind w:left="397" w:right="397"/>
        <w:rPr>
          <w:rFonts w:asciiTheme="minorHAnsi" w:hAnsiTheme="minorHAnsi" w:cs="Arial"/>
          <w:b/>
          <w:sz w:val="24"/>
          <w:szCs w:val="24"/>
        </w:rPr>
      </w:pPr>
    </w:p>
    <w:p w14:paraId="0E3632A6" w14:textId="77777777" w:rsidR="0076601B" w:rsidRPr="00D021CC" w:rsidRDefault="0076601B" w:rsidP="00196D4A">
      <w:pPr>
        <w:ind w:left="397" w:right="397"/>
        <w:rPr>
          <w:rFonts w:asciiTheme="minorHAnsi" w:hAnsiTheme="minorHAnsi" w:cs="Arial"/>
          <w:sz w:val="24"/>
          <w:szCs w:val="24"/>
        </w:rPr>
      </w:pPr>
    </w:p>
    <w:tbl>
      <w:tblPr>
        <w:tblStyle w:val="TableGrid"/>
        <w:tblW w:w="9356" w:type="dxa"/>
        <w:tblInd w:w="-147"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079"/>
        <w:gridCol w:w="2561"/>
        <w:gridCol w:w="2700"/>
        <w:gridCol w:w="2028"/>
      </w:tblGrid>
      <w:tr w:rsidR="00770875" w:rsidRPr="00D021CC" w14:paraId="095CA649" w14:textId="77777777" w:rsidTr="00196D4A">
        <w:trPr>
          <w:trHeight w:val="1150"/>
        </w:trPr>
        <w:tc>
          <w:tcPr>
            <w:tcW w:w="1937" w:type="dxa"/>
            <w:shd w:val="clear" w:color="auto" w:fill="996633"/>
          </w:tcPr>
          <w:p w14:paraId="5041B550" w14:textId="77777777" w:rsidR="00770875" w:rsidRPr="00D021CC" w:rsidRDefault="00770875" w:rsidP="00196D4A">
            <w:pPr>
              <w:ind w:left="397" w:right="397"/>
              <w:rPr>
                <w:rFonts w:asciiTheme="minorHAnsi" w:hAnsiTheme="minorHAnsi" w:cs="Arial"/>
                <w:color w:val="FFFFFF" w:themeColor="background1"/>
                <w:sz w:val="24"/>
                <w:szCs w:val="24"/>
              </w:rPr>
            </w:pPr>
            <w:r w:rsidRPr="00D021CC">
              <w:rPr>
                <w:rFonts w:asciiTheme="minorHAnsi" w:hAnsiTheme="minorHAnsi" w:cs="Arial"/>
                <w:color w:val="FFFFFF" w:themeColor="background1"/>
                <w:sz w:val="24"/>
                <w:szCs w:val="24"/>
              </w:rPr>
              <w:t>Type of matter</w:t>
            </w:r>
          </w:p>
        </w:tc>
        <w:tc>
          <w:tcPr>
            <w:tcW w:w="2656" w:type="dxa"/>
            <w:shd w:val="clear" w:color="auto" w:fill="996633"/>
          </w:tcPr>
          <w:p w14:paraId="03D5A1F2" w14:textId="77777777" w:rsidR="00770875" w:rsidRPr="00D021CC" w:rsidRDefault="00770875" w:rsidP="00196D4A">
            <w:pPr>
              <w:ind w:left="397" w:right="397"/>
              <w:rPr>
                <w:rFonts w:asciiTheme="minorHAnsi" w:hAnsiTheme="minorHAnsi" w:cs="Arial"/>
                <w:color w:val="FFFFFF" w:themeColor="background1"/>
                <w:sz w:val="24"/>
                <w:szCs w:val="24"/>
              </w:rPr>
            </w:pPr>
            <w:r w:rsidRPr="00D021CC">
              <w:rPr>
                <w:rFonts w:asciiTheme="minorHAnsi" w:hAnsiTheme="minorHAnsi" w:cs="Arial"/>
                <w:color w:val="FFFFFF" w:themeColor="background1"/>
                <w:sz w:val="24"/>
                <w:szCs w:val="24"/>
              </w:rPr>
              <w:t>Parties involved</w:t>
            </w:r>
          </w:p>
        </w:tc>
        <w:tc>
          <w:tcPr>
            <w:tcW w:w="2700" w:type="dxa"/>
            <w:shd w:val="clear" w:color="auto" w:fill="996633"/>
          </w:tcPr>
          <w:p w14:paraId="35B27943" w14:textId="77777777" w:rsidR="00770875" w:rsidRPr="00D021CC" w:rsidRDefault="00770875" w:rsidP="00196D4A">
            <w:pPr>
              <w:ind w:left="397" w:right="397"/>
              <w:rPr>
                <w:rFonts w:asciiTheme="minorHAnsi" w:hAnsiTheme="minorHAnsi" w:cs="Arial"/>
                <w:color w:val="FFFFFF" w:themeColor="background1"/>
                <w:sz w:val="24"/>
                <w:szCs w:val="24"/>
              </w:rPr>
            </w:pPr>
            <w:r w:rsidRPr="00D021CC">
              <w:rPr>
                <w:rFonts w:asciiTheme="minorHAnsi" w:hAnsiTheme="minorHAnsi" w:cs="Arial"/>
                <w:color w:val="FFFFFF" w:themeColor="background1"/>
                <w:sz w:val="24"/>
                <w:szCs w:val="24"/>
              </w:rPr>
              <w:t>Competition Commission’s recommendation to Tribunal</w:t>
            </w:r>
          </w:p>
        </w:tc>
        <w:tc>
          <w:tcPr>
            <w:tcW w:w="2063" w:type="dxa"/>
            <w:shd w:val="clear" w:color="auto" w:fill="996633"/>
          </w:tcPr>
          <w:p w14:paraId="1AE2C999" w14:textId="77777777" w:rsidR="00770875" w:rsidRPr="00D021CC" w:rsidRDefault="00770875" w:rsidP="00196D4A">
            <w:pPr>
              <w:ind w:left="397" w:right="397"/>
              <w:rPr>
                <w:rFonts w:asciiTheme="minorHAnsi" w:hAnsiTheme="minorHAnsi" w:cs="Arial"/>
                <w:color w:val="FFFFFF" w:themeColor="background1"/>
                <w:sz w:val="24"/>
                <w:szCs w:val="24"/>
              </w:rPr>
            </w:pPr>
            <w:r>
              <w:rPr>
                <w:rFonts w:asciiTheme="minorHAnsi" w:hAnsiTheme="minorHAnsi" w:cs="Arial"/>
                <w:color w:val="FFFFFF" w:themeColor="background1"/>
                <w:sz w:val="24"/>
                <w:szCs w:val="24"/>
              </w:rPr>
              <w:t>Tribunal decision</w:t>
            </w:r>
          </w:p>
        </w:tc>
      </w:tr>
      <w:tr w:rsidR="00770875" w:rsidRPr="00D021CC" w14:paraId="18797D9E" w14:textId="77777777" w:rsidTr="00196D4A">
        <w:trPr>
          <w:trHeight w:val="493"/>
        </w:trPr>
        <w:tc>
          <w:tcPr>
            <w:tcW w:w="1937" w:type="dxa"/>
          </w:tcPr>
          <w:p w14:paraId="4263FEBC"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Consent agreement</w:t>
            </w:r>
          </w:p>
        </w:tc>
        <w:tc>
          <w:tcPr>
            <w:tcW w:w="2656" w:type="dxa"/>
          </w:tcPr>
          <w:p w14:paraId="11303F54"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olor w:val="000000"/>
                <w:sz w:val="24"/>
                <w:szCs w:val="24"/>
              </w:rPr>
              <w:t xml:space="preserve">Competition Commission </w:t>
            </w:r>
            <w:proofErr w:type="gramStart"/>
            <w:r w:rsidRPr="00D021CC">
              <w:rPr>
                <w:rFonts w:asciiTheme="minorHAnsi" w:hAnsiTheme="minorHAnsi"/>
                <w:color w:val="000000"/>
                <w:sz w:val="24"/>
                <w:szCs w:val="24"/>
              </w:rPr>
              <w:t>And</w:t>
            </w:r>
            <w:proofErr w:type="gramEnd"/>
            <w:r w:rsidRPr="00D021CC">
              <w:rPr>
                <w:rFonts w:asciiTheme="minorHAnsi" w:hAnsiTheme="minorHAnsi"/>
                <w:color w:val="000000"/>
                <w:sz w:val="24"/>
                <w:szCs w:val="24"/>
              </w:rPr>
              <w:t xml:space="preserve"> Rand Refinery (Pty) Ltd</w:t>
            </w:r>
          </w:p>
        </w:tc>
        <w:tc>
          <w:tcPr>
            <w:tcW w:w="2700" w:type="dxa"/>
          </w:tcPr>
          <w:p w14:paraId="02FA2281"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Confirm consent agreement</w:t>
            </w:r>
          </w:p>
        </w:tc>
        <w:tc>
          <w:tcPr>
            <w:tcW w:w="2063" w:type="dxa"/>
          </w:tcPr>
          <w:p w14:paraId="510A700D" w14:textId="77777777" w:rsidR="00770875" w:rsidRPr="00D021CC" w:rsidRDefault="00E60C25" w:rsidP="00E60C25">
            <w:pPr>
              <w:ind w:right="397"/>
              <w:rPr>
                <w:rFonts w:asciiTheme="minorHAnsi" w:hAnsiTheme="minorHAnsi" w:cs="Arial"/>
                <w:sz w:val="24"/>
                <w:szCs w:val="24"/>
              </w:rPr>
            </w:pPr>
            <w:r>
              <w:rPr>
                <w:rFonts w:asciiTheme="minorHAnsi" w:hAnsiTheme="minorHAnsi" w:cs="Arial"/>
                <w:sz w:val="24"/>
                <w:szCs w:val="24"/>
              </w:rPr>
              <w:t xml:space="preserve"> Consent agreement confirmed</w:t>
            </w:r>
          </w:p>
        </w:tc>
      </w:tr>
      <w:tr w:rsidR="00770875" w:rsidRPr="00D021CC" w14:paraId="5FA7F54A" w14:textId="77777777" w:rsidTr="00196D4A">
        <w:trPr>
          <w:trHeight w:val="493"/>
        </w:trPr>
        <w:tc>
          <w:tcPr>
            <w:tcW w:w="1937" w:type="dxa"/>
          </w:tcPr>
          <w:p w14:paraId="07D4C72E"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Large merger</w:t>
            </w:r>
          </w:p>
        </w:tc>
        <w:tc>
          <w:tcPr>
            <w:tcW w:w="2656" w:type="dxa"/>
          </w:tcPr>
          <w:p w14:paraId="08E9ECB5" w14:textId="77777777" w:rsidR="00770875" w:rsidRPr="00D021CC" w:rsidRDefault="00770875" w:rsidP="00196D4A">
            <w:pPr>
              <w:ind w:left="397" w:right="397"/>
              <w:rPr>
                <w:rFonts w:asciiTheme="minorHAnsi" w:hAnsiTheme="minorHAnsi" w:cs="Arial"/>
                <w:color w:val="000000"/>
                <w:sz w:val="24"/>
                <w:szCs w:val="24"/>
              </w:rPr>
            </w:pPr>
            <w:r w:rsidRPr="00D021CC">
              <w:rPr>
                <w:rFonts w:asciiTheme="minorHAnsi" w:hAnsiTheme="minorHAnsi"/>
                <w:color w:val="000000"/>
                <w:sz w:val="24"/>
                <w:szCs w:val="24"/>
              </w:rPr>
              <w:t xml:space="preserve">K2012150042 (South Africa) (Pty) Ltd </w:t>
            </w:r>
            <w:proofErr w:type="gramStart"/>
            <w:r w:rsidRPr="00D021CC">
              <w:rPr>
                <w:rFonts w:asciiTheme="minorHAnsi" w:hAnsiTheme="minorHAnsi"/>
                <w:color w:val="000000"/>
                <w:sz w:val="24"/>
                <w:szCs w:val="24"/>
              </w:rPr>
              <w:t>And</w:t>
            </w:r>
            <w:proofErr w:type="gramEnd"/>
            <w:r w:rsidRPr="00D021CC">
              <w:rPr>
                <w:rFonts w:asciiTheme="minorHAnsi" w:hAnsiTheme="minorHAnsi"/>
                <w:color w:val="000000"/>
                <w:sz w:val="24"/>
                <w:szCs w:val="24"/>
              </w:rPr>
              <w:t xml:space="preserve"> Win Twice (Pty) and Bedford Square Properties (Pty) Ltd</w:t>
            </w:r>
          </w:p>
        </w:tc>
        <w:tc>
          <w:tcPr>
            <w:tcW w:w="2700" w:type="dxa"/>
          </w:tcPr>
          <w:p w14:paraId="112A89B0"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Approve without conditions</w:t>
            </w:r>
          </w:p>
        </w:tc>
        <w:tc>
          <w:tcPr>
            <w:tcW w:w="2063" w:type="dxa"/>
          </w:tcPr>
          <w:p w14:paraId="27F0E5AD" w14:textId="77777777" w:rsidR="00770875" w:rsidRPr="00D021CC" w:rsidRDefault="00770875" w:rsidP="00196D4A">
            <w:pPr>
              <w:ind w:left="397" w:right="397"/>
              <w:rPr>
                <w:rFonts w:asciiTheme="minorHAnsi" w:hAnsiTheme="minorHAnsi" w:cs="Arial"/>
                <w:sz w:val="24"/>
                <w:szCs w:val="24"/>
              </w:rPr>
            </w:pPr>
            <w:r>
              <w:rPr>
                <w:rFonts w:asciiTheme="minorHAnsi" w:hAnsiTheme="minorHAnsi" w:cs="Arial"/>
                <w:sz w:val="24"/>
                <w:szCs w:val="24"/>
              </w:rPr>
              <w:t>Approved without conditions</w:t>
            </w:r>
          </w:p>
        </w:tc>
      </w:tr>
      <w:tr w:rsidR="00770875" w:rsidRPr="00D021CC" w14:paraId="429925F0" w14:textId="77777777" w:rsidTr="00196D4A">
        <w:trPr>
          <w:trHeight w:val="493"/>
        </w:trPr>
        <w:tc>
          <w:tcPr>
            <w:tcW w:w="1937" w:type="dxa"/>
          </w:tcPr>
          <w:p w14:paraId="4979F0BF"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Large merger</w:t>
            </w:r>
          </w:p>
        </w:tc>
        <w:tc>
          <w:tcPr>
            <w:tcW w:w="2656" w:type="dxa"/>
          </w:tcPr>
          <w:p w14:paraId="6615B98F" w14:textId="77777777" w:rsidR="00770875" w:rsidRPr="00D021CC" w:rsidRDefault="00770875" w:rsidP="00196D4A">
            <w:pPr>
              <w:ind w:left="397" w:right="397"/>
              <w:rPr>
                <w:rFonts w:asciiTheme="minorHAnsi" w:hAnsiTheme="minorHAnsi"/>
                <w:color w:val="000000"/>
                <w:sz w:val="24"/>
                <w:szCs w:val="24"/>
              </w:rPr>
            </w:pPr>
            <w:r w:rsidRPr="00D021CC">
              <w:rPr>
                <w:rFonts w:asciiTheme="minorHAnsi" w:hAnsiTheme="minorHAnsi"/>
                <w:color w:val="000000"/>
                <w:sz w:val="24"/>
                <w:szCs w:val="24"/>
              </w:rPr>
              <w:t xml:space="preserve">Main Street 1494 (Pty) Ltd </w:t>
            </w:r>
            <w:proofErr w:type="gramStart"/>
            <w:r w:rsidRPr="00D021CC">
              <w:rPr>
                <w:rFonts w:asciiTheme="minorHAnsi" w:hAnsiTheme="minorHAnsi"/>
                <w:color w:val="000000"/>
                <w:sz w:val="24"/>
                <w:szCs w:val="24"/>
              </w:rPr>
              <w:t>And</w:t>
            </w:r>
            <w:proofErr w:type="gramEnd"/>
            <w:r w:rsidRPr="00D021CC">
              <w:rPr>
                <w:rFonts w:asciiTheme="minorHAnsi" w:hAnsiTheme="minorHAnsi"/>
                <w:color w:val="000000"/>
                <w:sz w:val="24"/>
                <w:szCs w:val="24"/>
              </w:rPr>
              <w:t xml:space="preserve"> Mass Chrome Company (Pty) Ltd, </w:t>
            </w:r>
            <w:proofErr w:type="spellStart"/>
            <w:r w:rsidRPr="00D021CC">
              <w:rPr>
                <w:rFonts w:asciiTheme="minorHAnsi" w:hAnsiTheme="minorHAnsi"/>
                <w:color w:val="000000"/>
                <w:sz w:val="24"/>
                <w:szCs w:val="24"/>
              </w:rPr>
              <w:t>Lexshell</w:t>
            </w:r>
            <w:proofErr w:type="spellEnd"/>
            <w:r w:rsidRPr="00D021CC">
              <w:rPr>
                <w:rFonts w:asciiTheme="minorHAnsi" w:hAnsiTheme="minorHAnsi"/>
                <w:color w:val="000000"/>
                <w:sz w:val="24"/>
                <w:szCs w:val="24"/>
              </w:rPr>
              <w:t xml:space="preserve"> 688 Investments (Pty) Ltd and the Unincorporated Union Section Joint Venture</w:t>
            </w:r>
          </w:p>
        </w:tc>
        <w:tc>
          <w:tcPr>
            <w:tcW w:w="2700" w:type="dxa"/>
          </w:tcPr>
          <w:p w14:paraId="6A7C8B8C" w14:textId="77777777" w:rsidR="00770875" w:rsidRPr="00D021CC" w:rsidRDefault="00770875" w:rsidP="00196D4A">
            <w:pPr>
              <w:ind w:left="397" w:right="397"/>
              <w:rPr>
                <w:rFonts w:asciiTheme="minorHAnsi" w:hAnsiTheme="minorHAnsi" w:cs="Arial"/>
                <w:sz w:val="24"/>
                <w:szCs w:val="24"/>
              </w:rPr>
            </w:pPr>
            <w:r w:rsidRPr="00D021CC">
              <w:rPr>
                <w:rFonts w:asciiTheme="minorHAnsi" w:hAnsiTheme="minorHAnsi" w:cs="Arial"/>
                <w:sz w:val="24"/>
                <w:szCs w:val="24"/>
              </w:rPr>
              <w:t>Approve without conditions</w:t>
            </w:r>
          </w:p>
        </w:tc>
        <w:tc>
          <w:tcPr>
            <w:tcW w:w="2063" w:type="dxa"/>
          </w:tcPr>
          <w:p w14:paraId="47026994" w14:textId="77777777" w:rsidR="00770875" w:rsidRPr="00D021CC" w:rsidRDefault="00770875" w:rsidP="00196D4A">
            <w:pPr>
              <w:ind w:left="397" w:right="397"/>
              <w:rPr>
                <w:rFonts w:asciiTheme="minorHAnsi" w:hAnsiTheme="minorHAnsi" w:cs="Arial"/>
                <w:sz w:val="24"/>
                <w:szCs w:val="24"/>
              </w:rPr>
            </w:pPr>
            <w:r>
              <w:rPr>
                <w:rFonts w:asciiTheme="minorHAnsi" w:hAnsiTheme="minorHAnsi" w:cs="Arial"/>
                <w:sz w:val="24"/>
                <w:szCs w:val="24"/>
              </w:rPr>
              <w:t>Approved without conditions</w:t>
            </w:r>
          </w:p>
        </w:tc>
      </w:tr>
    </w:tbl>
    <w:p w14:paraId="0851337F" w14:textId="77777777" w:rsidR="00C35EB2" w:rsidRPr="00D021CC" w:rsidRDefault="00BD28BF" w:rsidP="00196D4A">
      <w:pPr>
        <w:ind w:left="397" w:right="397"/>
        <w:rPr>
          <w:rFonts w:asciiTheme="minorHAnsi" w:hAnsiTheme="minorHAnsi"/>
          <w:sz w:val="24"/>
          <w:szCs w:val="24"/>
        </w:rPr>
      </w:pPr>
    </w:p>
    <w:p w14:paraId="2E31314E" w14:textId="77777777" w:rsidR="006304F4" w:rsidRPr="00D021CC" w:rsidRDefault="006304F4" w:rsidP="00196D4A">
      <w:pPr>
        <w:ind w:left="397" w:right="397"/>
        <w:rPr>
          <w:rFonts w:asciiTheme="minorHAnsi" w:hAnsiTheme="minorHAnsi"/>
          <w:sz w:val="24"/>
          <w:szCs w:val="24"/>
        </w:rPr>
      </w:pPr>
    </w:p>
    <w:p w14:paraId="303D5095" w14:textId="77777777" w:rsidR="006304F4" w:rsidRPr="00D021CC" w:rsidRDefault="00196D4A" w:rsidP="00196D4A">
      <w:pPr>
        <w:autoSpaceDE w:val="0"/>
        <w:autoSpaceDN w:val="0"/>
        <w:spacing w:after="160"/>
        <w:ind w:left="397" w:right="397"/>
        <w:contextualSpacing/>
        <w:rPr>
          <w:rFonts w:asciiTheme="minorHAnsi" w:hAnsiTheme="minorHAnsi" w:cs="Arial"/>
          <w:b/>
          <w:bCs/>
          <w:sz w:val="24"/>
          <w:szCs w:val="24"/>
        </w:rPr>
      </w:pPr>
      <w:r>
        <w:rPr>
          <w:rFonts w:asciiTheme="minorHAnsi" w:hAnsiTheme="minorHAnsi" w:cs="Arial"/>
          <w:b/>
          <w:bCs/>
          <w:sz w:val="24"/>
          <w:szCs w:val="24"/>
        </w:rPr>
        <w:t xml:space="preserve">K2012150042 (South Africa) to </w:t>
      </w:r>
      <w:r w:rsidR="00533812" w:rsidRPr="00D021CC">
        <w:rPr>
          <w:rFonts w:asciiTheme="minorHAnsi" w:hAnsiTheme="minorHAnsi" w:cs="Arial"/>
          <w:b/>
          <w:bCs/>
          <w:sz w:val="24"/>
          <w:szCs w:val="24"/>
        </w:rPr>
        <w:t xml:space="preserve">acquire property investment firms </w:t>
      </w:r>
      <w:r w:rsidR="006304F4" w:rsidRPr="00D021CC">
        <w:rPr>
          <w:rFonts w:asciiTheme="minorHAnsi" w:hAnsiTheme="minorHAnsi" w:cs="Arial"/>
          <w:b/>
          <w:bCs/>
          <w:sz w:val="24"/>
          <w:szCs w:val="24"/>
        </w:rPr>
        <w:t>Win Twice Properties and Bedford Square Properties</w:t>
      </w:r>
    </w:p>
    <w:p w14:paraId="3B493667" w14:textId="77777777" w:rsidR="006304F4" w:rsidRPr="00D021CC" w:rsidRDefault="006304F4" w:rsidP="00196D4A">
      <w:pPr>
        <w:autoSpaceDE w:val="0"/>
        <w:autoSpaceDN w:val="0"/>
        <w:ind w:left="397" w:right="397"/>
        <w:rPr>
          <w:rFonts w:asciiTheme="minorHAnsi" w:hAnsiTheme="minorHAnsi" w:cs="Arial"/>
          <w:b/>
          <w:bCs/>
          <w:sz w:val="24"/>
          <w:szCs w:val="24"/>
        </w:rPr>
      </w:pPr>
    </w:p>
    <w:p w14:paraId="02B8D1D5" w14:textId="77777777" w:rsidR="006304F4" w:rsidRPr="00D021CC" w:rsidRDefault="006304F4" w:rsidP="00196D4A">
      <w:pPr>
        <w:autoSpaceDE w:val="0"/>
        <w:autoSpaceDN w:val="0"/>
        <w:ind w:left="397" w:right="397"/>
        <w:rPr>
          <w:rFonts w:asciiTheme="minorHAnsi" w:hAnsiTheme="minorHAnsi" w:cs="Arial"/>
          <w:sz w:val="24"/>
          <w:szCs w:val="24"/>
        </w:rPr>
      </w:pPr>
      <w:r w:rsidRPr="00D021CC">
        <w:rPr>
          <w:rFonts w:asciiTheme="minorHAnsi" w:hAnsiTheme="minorHAnsi" w:cs="Arial"/>
          <w:sz w:val="24"/>
          <w:szCs w:val="24"/>
        </w:rPr>
        <w:lastRenderedPageBreak/>
        <w:t xml:space="preserve">The </w:t>
      </w:r>
      <w:r w:rsidR="00533812" w:rsidRPr="00D021CC">
        <w:rPr>
          <w:rFonts w:asciiTheme="minorHAnsi" w:hAnsiTheme="minorHAnsi" w:cs="Arial"/>
          <w:sz w:val="24"/>
          <w:szCs w:val="24"/>
        </w:rPr>
        <w:t>Competition Tribuna</w:t>
      </w:r>
      <w:r w:rsidR="00196D4A">
        <w:rPr>
          <w:rFonts w:asciiTheme="minorHAnsi" w:hAnsiTheme="minorHAnsi" w:cs="Arial"/>
          <w:sz w:val="24"/>
          <w:szCs w:val="24"/>
        </w:rPr>
        <w:t xml:space="preserve">l has approved a </w:t>
      </w:r>
      <w:r w:rsidR="00533812" w:rsidRPr="00D021CC">
        <w:rPr>
          <w:rFonts w:asciiTheme="minorHAnsi" w:hAnsiTheme="minorHAnsi" w:cs="Arial"/>
          <w:sz w:val="24"/>
          <w:szCs w:val="24"/>
        </w:rPr>
        <w:t>merger</w:t>
      </w:r>
      <w:r w:rsidR="00196D4A">
        <w:rPr>
          <w:rFonts w:asciiTheme="minorHAnsi" w:hAnsiTheme="minorHAnsi" w:cs="Arial"/>
          <w:sz w:val="24"/>
          <w:szCs w:val="24"/>
        </w:rPr>
        <w:t xml:space="preserve"> between</w:t>
      </w:r>
      <w:r w:rsidR="00533812" w:rsidRPr="00D021CC">
        <w:rPr>
          <w:rFonts w:asciiTheme="minorHAnsi" w:hAnsiTheme="minorHAnsi" w:cs="Arial"/>
          <w:sz w:val="24"/>
          <w:szCs w:val="24"/>
        </w:rPr>
        <w:t xml:space="preserve"> </w:t>
      </w:r>
      <w:r w:rsidRPr="00D021CC">
        <w:rPr>
          <w:rFonts w:asciiTheme="minorHAnsi" w:hAnsiTheme="minorHAnsi" w:cs="Arial"/>
          <w:sz w:val="24"/>
          <w:szCs w:val="24"/>
        </w:rPr>
        <w:t>K2012150042 (South Africa) (Pty) Ltd (K2012)</w:t>
      </w:r>
      <w:r w:rsidR="00196D4A">
        <w:rPr>
          <w:rFonts w:asciiTheme="minorHAnsi" w:hAnsiTheme="minorHAnsi" w:cs="Arial"/>
          <w:sz w:val="24"/>
          <w:szCs w:val="24"/>
        </w:rPr>
        <w:t xml:space="preserve"> and</w:t>
      </w:r>
      <w:r w:rsidRPr="00D021CC">
        <w:rPr>
          <w:rFonts w:asciiTheme="minorHAnsi" w:hAnsiTheme="minorHAnsi" w:cs="Arial"/>
          <w:sz w:val="24"/>
          <w:szCs w:val="24"/>
        </w:rPr>
        <w:t xml:space="preserve"> Win Twic</w:t>
      </w:r>
      <w:r w:rsidR="00196D4A">
        <w:rPr>
          <w:rFonts w:asciiTheme="minorHAnsi" w:hAnsiTheme="minorHAnsi" w:cs="Arial"/>
          <w:sz w:val="24"/>
          <w:szCs w:val="24"/>
        </w:rPr>
        <w:t>e Properties (Pty) Ltd (WTP) as well as</w:t>
      </w:r>
      <w:r w:rsidRPr="00D021CC">
        <w:rPr>
          <w:rFonts w:asciiTheme="minorHAnsi" w:hAnsiTheme="minorHAnsi" w:cs="Arial"/>
          <w:sz w:val="24"/>
          <w:szCs w:val="24"/>
        </w:rPr>
        <w:t xml:space="preserve"> Bedford Square Properties (Pty) Ltd (BSP).</w:t>
      </w:r>
    </w:p>
    <w:p w14:paraId="075685A4" w14:textId="77777777" w:rsidR="006304F4" w:rsidRPr="00D021CC" w:rsidRDefault="006304F4" w:rsidP="00196D4A">
      <w:pPr>
        <w:autoSpaceDE w:val="0"/>
        <w:autoSpaceDN w:val="0"/>
        <w:ind w:left="397" w:right="397"/>
        <w:rPr>
          <w:rFonts w:asciiTheme="minorHAnsi" w:hAnsiTheme="minorHAnsi" w:cs="Arial"/>
          <w:sz w:val="24"/>
          <w:szCs w:val="24"/>
        </w:rPr>
      </w:pPr>
    </w:p>
    <w:p w14:paraId="1D518CF8" w14:textId="77777777" w:rsidR="006304F4" w:rsidRPr="00D021CC" w:rsidRDefault="006304F4" w:rsidP="00196D4A">
      <w:pPr>
        <w:ind w:left="397" w:right="397"/>
        <w:rPr>
          <w:rFonts w:asciiTheme="minorHAnsi" w:hAnsiTheme="minorHAnsi" w:cs="Arial"/>
          <w:sz w:val="24"/>
          <w:szCs w:val="24"/>
          <w:lang w:val="en-GB"/>
        </w:rPr>
      </w:pPr>
      <w:r w:rsidRPr="00D021CC">
        <w:rPr>
          <w:rFonts w:asciiTheme="minorHAnsi" w:hAnsiTheme="minorHAnsi" w:cs="Arial"/>
          <w:sz w:val="24"/>
          <w:szCs w:val="24"/>
          <w:lang w:val="en-GB"/>
        </w:rPr>
        <w:t xml:space="preserve">K2012, ultimately controlled by Old Mutual Group Holdings (South Africa) (Pty) Ltd, is a diversified property ownership firm with a portfolio of 34 immovable properties and rental enterprises. WTP and BSP are two property investment firms which own the immovable property and letting enterprises known as Bedford Centre and Bedford Square which both </w:t>
      </w:r>
      <w:r w:rsidR="001C774A" w:rsidRPr="00D021CC">
        <w:rPr>
          <w:rFonts w:asciiTheme="minorHAnsi" w:hAnsiTheme="minorHAnsi" w:cs="Arial"/>
          <w:sz w:val="24"/>
          <w:szCs w:val="24"/>
          <w:lang w:val="en-GB"/>
        </w:rPr>
        <w:t xml:space="preserve">have rental </w:t>
      </w:r>
      <w:r w:rsidRPr="00D021CC">
        <w:rPr>
          <w:rFonts w:asciiTheme="minorHAnsi" w:hAnsiTheme="minorHAnsi" w:cs="Arial"/>
          <w:sz w:val="24"/>
          <w:szCs w:val="24"/>
          <w:lang w:val="en-GB"/>
        </w:rPr>
        <w:t>retail space and office space.</w:t>
      </w:r>
    </w:p>
    <w:p w14:paraId="5C99CCE4" w14:textId="77777777" w:rsidR="00B34CD9" w:rsidRPr="00D021CC" w:rsidRDefault="00B34CD9" w:rsidP="00196D4A">
      <w:pPr>
        <w:ind w:left="397" w:right="397"/>
        <w:rPr>
          <w:rFonts w:asciiTheme="minorHAnsi" w:hAnsiTheme="minorHAnsi" w:cs="Arial"/>
          <w:sz w:val="24"/>
          <w:szCs w:val="24"/>
          <w:lang w:val="en-US"/>
        </w:rPr>
      </w:pPr>
    </w:p>
    <w:p w14:paraId="13562A60" w14:textId="77777777" w:rsidR="001C774A" w:rsidRDefault="00196D4A" w:rsidP="00196D4A">
      <w:pPr>
        <w:ind w:left="397" w:right="397"/>
        <w:rPr>
          <w:rFonts w:asciiTheme="minorHAnsi" w:hAnsiTheme="minorHAnsi" w:cs="Arial"/>
          <w:sz w:val="24"/>
          <w:szCs w:val="24"/>
          <w:lang w:val="en-US"/>
        </w:rPr>
      </w:pPr>
      <w:r>
        <w:rPr>
          <w:rFonts w:asciiTheme="minorHAnsi" w:hAnsiTheme="minorHAnsi" w:cs="Arial"/>
          <w:sz w:val="24"/>
          <w:szCs w:val="24"/>
          <w:lang w:val="en-US"/>
        </w:rPr>
        <w:t xml:space="preserve">The merger has been approved without conditions. </w:t>
      </w:r>
    </w:p>
    <w:p w14:paraId="6BA45115" w14:textId="77777777" w:rsidR="00196D4A" w:rsidRPr="00D021CC" w:rsidRDefault="00196D4A" w:rsidP="00196D4A">
      <w:pPr>
        <w:ind w:left="397" w:right="397"/>
        <w:rPr>
          <w:rFonts w:asciiTheme="minorHAnsi" w:hAnsiTheme="minorHAnsi" w:cs="Arial"/>
          <w:sz w:val="24"/>
          <w:szCs w:val="24"/>
          <w:lang w:val="en-US"/>
        </w:rPr>
      </w:pPr>
    </w:p>
    <w:p w14:paraId="19C772EA" w14:textId="77777777" w:rsidR="00B34CD9" w:rsidRPr="00D021CC" w:rsidRDefault="001C774A" w:rsidP="00196D4A">
      <w:pPr>
        <w:autoSpaceDE w:val="0"/>
        <w:autoSpaceDN w:val="0"/>
        <w:spacing w:after="160"/>
        <w:ind w:left="397" w:right="397"/>
        <w:contextualSpacing/>
        <w:rPr>
          <w:rFonts w:asciiTheme="minorHAnsi" w:hAnsiTheme="minorHAnsi" w:cs="Arial"/>
          <w:b/>
          <w:bCs/>
          <w:sz w:val="24"/>
          <w:szCs w:val="24"/>
        </w:rPr>
      </w:pPr>
      <w:r w:rsidRPr="00D021CC">
        <w:rPr>
          <w:rFonts w:asciiTheme="minorHAnsi" w:hAnsiTheme="minorHAnsi" w:cs="Arial"/>
          <w:b/>
          <w:bCs/>
          <w:sz w:val="24"/>
          <w:szCs w:val="24"/>
        </w:rPr>
        <w:t xml:space="preserve">Main Street 1494 </w:t>
      </w:r>
      <w:r w:rsidR="00E60C25">
        <w:rPr>
          <w:rFonts w:asciiTheme="minorHAnsi" w:hAnsiTheme="minorHAnsi" w:cs="Arial"/>
          <w:b/>
          <w:bCs/>
          <w:sz w:val="24"/>
          <w:szCs w:val="24"/>
        </w:rPr>
        <w:t>merger approved with entities in the resources sector</w:t>
      </w:r>
    </w:p>
    <w:p w14:paraId="13903E39" w14:textId="77777777" w:rsidR="00B34CD9" w:rsidRPr="00D021CC" w:rsidRDefault="00B34CD9" w:rsidP="00196D4A">
      <w:pPr>
        <w:autoSpaceDE w:val="0"/>
        <w:autoSpaceDN w:val="0"/>
        <w:ind w:left="397" w:right="397"/>
        <w:rPr>
          <w:rFonts w:asciiTheme="minorHAnsi" w:hAnsiTheme="minorHAnsi" w:cs="Arial"/>
          <w:b/>
          <w:bCs/>
          <w:sz w:val="24"/>
          <w:szCs w:val="24"/>
        </w:rPr>
      </w:pPr>
    </w:p>
    <w:p w14:paraId="1FAFC190" w14:textId="77777777" w:rsidR="00B34CD9" w:rsidRPr="00D021CC" w:rsidRDefault="00196D4A" w:rsidP="00196D4A">
      <w:pPr>
        <w:ind w:left="397" w:right="397"/>
        <w:rPr>
          <w:rFonts w:asciiTheme="minorHAnsi" w:hAnsiTheme="minorHAnsi" w:cs="Arial"/>
          <w:sz w:val="24"/>
          <w:szCs w:val="24"/>
          <w:lang w:val="en-GB"/>
        </w:rPr>
      </w:pPr>
      <w:r>
        <w:rPr>
          <w:rFonts w:asciiTheme="minorHAnsi" w:hAnsiTheme="minorHAnsi" w:cs="Arial"/>
          <w:sz w:val="24"/>
          <w:szCs w:val="24"/>
          <w:lang w:val="en-GB"/>
        </w:rPr>
        <w:t xml:space="preserve">The Tribunal has approved a </w:t>
      </w:r>
      <w:r w:rsidR="00B34CD9" w:rsidRPr="00D021CC">
        <w:rPr>
          <w:rFonts w:asciiTheme="minorHAnsi" w:hAnsiTheme="minorHAnsi" w:cs="Arial"/>
          <w:sz w:val="24"/>
          <w:szCs w:val="24"/>
          <w:lang w:val="en-GB"/>
        </w:rPr>
        <w:t xml:space="preserve">merger </w:t>
      </w:r>
      <w:r w:rsidR="001172E5" w:rsidRPr="00D021CC">
        <w:rPr>
          <w:rFonts w:asciiTheme="minorHAnsi" w:hAnsiTheme="minorHAnsi" w:cs="Arial"/>
          <w:sz w:val="24"/>
          <w:szCs w:val="24"/>
          <w:lang w:val="en-GB"/>
        </w:rPr>
        <w:t xml:space="preserve">by </w:t>
      </w:r>
      <w:r w:rsidR="00B34CD9" w:rsidRPr="00D021CC">
        <w:rPr>
          <w:rFonts w:asciiTheme="minorHAnsi" w:hAnsiTheme="minorHAnsi" w:cs="Arial"/>
          <w:sz w:val="24"/>
          <w:szCs w:val="24"/>
          <w:lang w:val="en-GB"/>
        </w:rPr>
        <w:t>Siyanda Chrome Investments (Pty) Ltd</w:t>
      </w:r>
      <w:r w:rsidR="001C774A" w:rsidRPr="00D021CC">
        <w:rPr>
          <w:rFonts w:asciiTheme="minorHAnsi" w:hAnsiTheme="minorHAnsi" w:cs="Arial"/>
          <w:sz w:val="24"/>
          <w:szCs w:val="24"/>
          <w:lang w:val="en-GB"/>
        </w:rPr>
        <w:t xml:space="preserve">, </w:t>
      </w:r>
      <w:r w:rsidR="00B34CD9" w:rsidRPr="00D021CC">
        <w:rPr>
          <w:rFonts w:asciiTheme="minorHAnsi" w:hAnsiTheme="minorHAnsi" w:cs="Arial"/>
          <w:sz w:val="24"/>
          <w:szCs w:val="24"/>
          <w:lang w:val="en-GB"/>
        </w:rPr>
        <w:t>through a subsidiary, Mai</w:t>
      </w:r>
      <w:r w:rsidR="001C774A" w:rsidRPr="00D021CC">
        <w:rPr>
          <w:rFonts w:asciiTheme="minorHAnsi" w:hAnsiTheme="minorHAnsi" w:cs="Arial"/>
          <w:sz w:val="24"/>
          <w:szCs w:val="24"/>
          <w:lang w:val="en-GB"/>
        </w:rPr>
        <w:t>n Street 1494 (Pty) Lt</w:t>
      </w:r>
      <w:r w:rsidR="00D021CC" w:rsidRPr="00D021CC">
        <w:rPr>
          <w:rFonts w:asciiTheme="minorHAnsi" w:hAnsiTheme="minorHAnsi" w:cs="Arial"/>
          <w:sz w:val="24"/>
          <w:szCs w:val="24"/>
          <w:lang w:val="en-GB"/>
        </w:rPr>
        <w:t>d</w:t>
      </w:r>
      <w:r w:rsidR="00B34CD9" w:rsidRPr="00D021CC">
        <w:rPr>
          <w:rFonts w:asciiTheme="minorHAnsi" w:hAnsiTheme="minorHAnsi" w:cs="Arial"/>
          <w:sz w:val="24"/>
          <w:szCs w:val="24"/>
          <w:lang w:val="en-GB"/>
        </w:rPr>
        <w:t>,</w:t>
      </w:r>
      <w:r w:rsidR="001172E5" w:rsidRPr="00D021CC">
        <w:rPr>
          <w:rFonts w:asciiTheme="minorHAnsi" w:hAnsiTheme="minorHAnsi" w:cs="Arial"/>
          <w:sz w:val="24"/>
          <w:szCs w:val="24"/>
          <w:lang w:val="en-GB"/>
        </w:rPr>
        <w:t xml:space="preserve"> which involves acquiring</w:t>
      </w:r>
      <w:r w:rsidR="00B34CD9" w:rsidRPr="00D021CC">
        <w:rPr>
          <w:rFonts w:asciiTheme="minorHAnsi" w:hAnsiTheme="minorHAnsi" w:cs="Arial"/>
          <w:sz w:val="24"/>
          <w:szCs w:val="24"/>
          <w:lang w:val="en-GB"/>
        </w:rPr>
        <w:t xml:space="preserve"> Rustenburg Platinum Mines Limited (RPM)’s interest in the unincorporated Union Section Joint Venture, its interest in the associated Masa Chrome</w:t>
      </w:r>
      <w:r w:rsidR="001172E5" w:rsidRPr="00D021CC">
        <w:rPr>
          <w:rFonts w:asciiTheme="minorHAnsi" w:hAnsiTheme="minorHAnsi" w:cs="Arial"/>
          <w:sz w:val="24"/>
          <w:szCs w:val="24"/>
          <w:lang w:val="en-GB"/>
        </w:rPr>
        <w:t xml:space="preserve"> Company (Pty) Ltd and </w:t>
      </w:r>
      <w:r w:rsidR="00B34CD9" w:rsidRPr="00D021CC">
        <w:rPr>
          <w:rFonts w:asciiTheme="minorHAnsi" w:hAnsiTheme="minorHAnsi" w:cs="Arial"/>
          <w:sz w:val="24"/>
          <w:szCs w:val="24"/>
          <w:lang w:val="en-GB"/>
        </w:rPr>
        <w:t xml:space="preserve">its shareholding in </w:t>
      </w:r>
      <w:proofErr w:type="spellStart"/>
      <w:r w:rsidR="00B34CD9" w:rsidRPr="00D021CC">
        <w:rPr>
          <w:rFonts w:asciiTheme="minorHAnsi" w:hAnsiTheme="minorHAnsi" w:cs="Arial"/>
          <w:sz w:val="24"/>
          <w:szCs w:val="24"/>
          <w:lang w:val="en-GB"/>
        </w:rPr>
        <w:t>Lexshell</w:t>
      </w:r>
      <w:proofErr w:type="spellEnd"/>
      <w:r w:rsidR="00B34CD9" w:rsidRPr="00D021CC">
        <w:rPr>
          <w:rFonts w:asciiTheme="minorHAnsi" w:hAnsiTheme="minorHAnsi" w:cs="Arial"/>
          <w:sz w:val="24"/>
          <w:szCs w:val="24"/>
          <w:lang w:val="en-GB"/>
        </w:rPr>
        <w:t xml:space="preserve"> 688 Investments (Pty) Ltd.</w:t>
      </w:r>
    </w:p>
    <w:p w14:paraId="34A17546" w14:textId="77777777" w:rsidR="00B34CD9" w:rsidRPr="00D021CC" w:rsidRDefault="00B34CD9" w:rsidP="00196D4A">
      <w:pPr>
        <w:autoSpaceDE w:val="0"/>
        <w:autoSpaceDN w:val="0"/>
        <w:ind w:left="397" w:right="397"/>
        <w:rPr>
          <w:rFonts w:asciiTheme="minorHAnsi" w:hAnsiTheme="minorHAnsi" w:cs="Arial"/>
          <w:b/>
          <w:bCs/>
          <w:sz w:val="24"/>
          <w:szCs w:val="24"/>
        </w:rPr>
      </w:pPr>
    </w:p>
    <w:p w14:paraId="311CCE9B" w14:textId="77777777" w:rsidR="00B34CD9" w:rsidRPr="00D021CC" w:rsidRDefault="00B34CD9" w:rsidP="00196D4A">
      <w:pPr>
        <w:autoSpaceDE w:val="0"/>
        <w:autoSpaceDN w:val="0"/>
        <w:ind w:left="397" w:right="397"/>
        <w:rPr>
          <w:rFonts w:asciiTheme="minorHAnsi" w:hAnsiTheme="minorHAnsi" w:cs="Arial"/>
          <w:sz w:val="24"/>
          <w:szCs w:val="24"/>
          <w:lang w:val="en-GB"/>
        </w:rPr>
      </w:pPr>
      <w:r w:rsidRPr="00D021CC">
        <w:rPr>
          <w:rFonts w:asciiTheme="minorHAnsi" w:hAnsiTheme="minorHAnsi" w:cs="Arial"/>
          <w:sz w:val="24"/>
          <w:szCs w:val="24"/>
          <w:lang w:val="en-GB"/>
        </w:rPr>
        <w:t xml:space="preserve">Main Street is a subsidiary of Siyanda Chrome which is a subsidiary </w:t>
      </w:r>
      <w:r w:rsidR="001172E5" w:rsidRPr="00D021CC">
        <w:rPr>
          <w:rFonts w:asciiTheme="minorHAnsi" w:hAnsiTheme="minorHAnsi" w:cs="Arial"/>
          <w:sz w:val="24"/>
          <w:szCs w:val="24"/>
          <w:lang w:val="en-GB"/>
        </w:rPr>
        <w:t xml:space="preserve">of </w:t>
      </w:r>
      <w:r w:rsidR="00D021CC" w:rsidRPr="00D021CC">
        <w:rPr>
          <w:rFonts w:asciiTheme="minorHAnsi" w:hAnsiTheme="minorHAnsi" w:cs="Arial"/>
          <w:sz w:val="24"/>
          <w:szCs w:val="24"/>
          <w:lang w:val="en-GB"/>
        </w:rPr>
        <w:t>Siyanda Resources (Pty) Ltd, an</w:t>
      </w:r>
      <w:r w:rsidR="001172E5" w:rsidRPr="00D021CC">
        <w:rPr>
          <w:rFonts w:asciiTheme="minorHAnsi" w:hAnsiTheme="minorHAnsi" w:cs="Arial"/>
          <w:sz w:val="24"/>
          <w:szCs w:val="24"/>
          <w:lang w:val="en-GB"/>
        </w:rPr>
        <w:t xml:space="preserve"> </w:t>
      </w:r>
      <w:r w:rsidRPr="00D021CC">
        <w:rPr>
          <w:rFonts w:asciiTheme="minorHAnsi" w:hAnsiTheme="minorHAnsi" w:cs="Arial"/>
          <w:sz w:val="24"/>
          <w:szCs w:val="24"/>
          <w:lang w:val="en-GB"/>
        </w:rPr>
        <w:t xml:space="preserve">investment holding company </w:t>
      </w:r>
      <w:r w:rsidR="001172E5" w:rsidRPr="00D021CC">
        <w:rPr>
          <w:rFonts w:asciiTheme="minorHAnsi" w:hAnsiTheme="minorHAnsi" w:cs="Arial"/>
          <w:sz w:val="24"/>
          <w:szCs w:val="24"/>
          <w:lang w:val="en-GB"/>
        </w:rPr>
        <w:t>with</w:t>
      </w:r>
      <w:r w:rsidRPr="00D021CC">
        <w:rPr>
          <w:rFonts w:asciiTheme="minorHAnsi" w:hAnsiTheme="minorHAnsi" w:cs="Arial"/>
          <w:sz w:val="24"/>
          <w:szCs w:val="24"/>
          <w:lang w:val="en-GB"/>
        </w:rPr>
        <w:t xml:space="preserve"> interests in a number of mining and mining related companies. Siyanda Resources focuses its investments in the resources sector, with particular emphasis on coal production, milled and atomized dense media ferrosilicon po</w:t>
      </w:r>
      <w:r w:rsidR="001172E5" w:rsidRPr="00D021CC">
        <w:rPr>
          <w:rFonts w:asciiTheme="minorHAnsi" w:hAnsiTheme="minorHAnsi" w:cs="Arial"/>
          <w:sz w:val="24"/>
          <w:szCs w:val="24"/>
          <w:lang w:val="en-GB"/>
        </w:rPr>
        <w:t>wders, precious and base metals, energy such as coal and gas</w:t>
      </w:r>
      <w:r w:rsidR="00D021CC">
        <w:rPr>
          <w:rFonts w:asciiTheme="minorHAnsi" w:hAnsiTheme="minorHAnsi" w:cs="Arial"/>
          <w:sz w:val="24"/>
          <w:szCs w:val="24"/>
          <w:lang w:val="en-GB"/>
        </w:rPr>
        <w:t xml:space="preserve"> </w:t>
      </w:r>
      <w:r w:rsidRPr="00D021CC">
        <w:rPr>
          <w:rFonts w:asciiTheme="minorHAnsi" w:hAnsiTheme="minorHAnsi" w:cs="Arial"/>
          <w:sz w:val="24"/>
          <w:szCs w:val="24"/>
          <w:lang w:val="en-GB"/>
        </w:rPr>
        <w:t>industrial minerals and chrome.</w:t>
      </w:r>
    </w:p>
    <w:p w14:paraId="392ED16C" w14:textId="77777777" w:rsidR="000F63B7" w:rsidRPr="00D021CC" w:rsidRDefault="000F63B7" w:rsidP="00196D4A">
      <w:pPr>
        <w:autoSpaceDE w:val="0"/>
        <w:autoSpaceDN w:val="0"/>
        <w:ind w:left="397" w:right="397"/>
        <w:rPr>
          <w:rFonts w:asciiTheme="minorHAnsi" w:hAnsiTheme="minorHAnsi" w:cs="Arial"/>
          <w:sz w:val="24"/>
          <w:szCs w:val="24"/>
          <w:lang w:val="en-GB"/>
        </w:rPr>
      </w:pPr>
    </w:p>
    <w:p w14:paraId="5424F027" w14:textId="77777777" w:rsidR="000F63B7" w:rsidRPr="00D021CC" w:rsidRDefault="000F63B7" w:rsidP="00196D4A">
      <w:pPr>
        <w:ind w:left="397" w:right="397"/>
        <w:rPr>
          <w:rFonts w:asciiTheme="minorHAnsi" w:hAnsiTheme="minorHAnsi" w:cs="Arial"/>
          <w:sz w:val="24"/>
          <w:szCs w:val="24"/>
        </w:rPr>
      </w:pPr>
      <w:r w:rsidRPr="00D021CC">
        <w:rPr>
          <w:rFonts w:asciiTheme="minorHAnsi" w:hAnsiTheme="minorHAnsi" w:cs="Arial"/>
          <w:sz w:val="24"/>
          <w:szCs w:val="24"/>
        </w:rPr>
        <w:t xml:space="preserve">Masa Chrome is controlled by Rustenburg Platinum Mines and Siyanda Chrome, while Rustenburg Platinum mines is a wholly owned subsidiary of </w:t>
      </w:r>
      <w:proofErr w:type="gramStart"/>
      <w:r w:rsidRPr="00D021CC">
        <w:rPr>
          <w:rFonts w:asciiTheme="minorHAnsi" w:hAnsiTheme="minorHAnsi" w:cs="Arial"/>
          <w:sz w:val="24"/>
          <w:szCs w:val="24"/>
        </w:rPr>
        <w:t>Anglo American</w:t>
      </w:r>
      <w:proofErr w:type="gramEnd"/>
      <w:r w:rsidRPr="00D021CC">
        <w:rPr>
          <w:rFonts w:asciiTheme="minorHAnsi" w:hAnsiTheme="minorHAnsi" w:cs="Arial"/>
          <w:sz w:val="24"/>
          <w:szCs w:val="24"/>
        </w:rPr>
        <w:t xml:space="preserve"> Platinum. Masa Chrome owns and operates a chrome recovery plant which is used for the production of chrome concentrate.</w:t>
      </w:r>
    </w:p>
    <w:p w14:paraId="281DF2CB" w14:textId="77777777" w:rsidR="000F63B7" w:rsidRPr="00D021CC" w:rsidRDefault="000F63B7" w:rsidP="00196D4A">
      <w:pPr>
        <w:ind w:left="397" w:right="397"/>
        <w:rPr>
          <w:rFonts w:asciiTheme="minorHAnsi" w:hAnsiTheme="minorHAnsi" w:cs="Arial"/>
          <w:sz w:val="24"/>
          <w:szCs w:val="24"/>
        </w:rPr>
      </w:pPr>
    </w:p>
    <w:p w14:paraId="1FF81B6F" w14:textId="77777777" w:rsidR="000F63B7" w:rsidRPr="00D021CC" w:rsidRDefault="00D021CC" w:rsidP="00196D4A">
      <w:pPr>
        <w:ind w:left="397" w:right="397"/>
        <w:rPr>
          <w:rFonts w:asciiTheme="minorHAnsi" w:hAnsiTheme="minorHAnsi" w:cs="Arial"/>
          <w:sz w:val="24"/>
          <w:szCs w:val="24"/>
        </w:rPr>
      </w:pPr>
      <w:r w:rsidRPr="00D021CC">
        <w:rPr>
          <w:rFonts w:asciiTheme="minorHAnsi" w:hAnsiTheme="minorHAnsi" w:cs="Arial"/>
          <w:sz w:val="24"/>
          <w:szCs w:val="24"/>
        </w:rPr>
        <w:t>The</w:t>
      </w:r>
      <w:r w:rsidR="00E60C25">
        <w:rPr>
          <w:rFonts w:asciiTheme="minorHAnsi" w:hAnsiTheme="minorHAnsi" w:cs="Arial"/>
          <w:sz w:val="24"/>
          <w:szCs w:val="24"/>
        </w:rPr>
        <w:t xml:space="preserve"> </w:t>
      </w:r>
      <w:r w:rsidRPr="00D021CC">
        <w:rPr>
          <w:rFonts w:asciiTheme="minorHAnsi" w:hAnsiTheme="minorHAnsi" w:cs="Arial"/>
          <w:sz w:val="24"/>
          <w:szCs w:val="24"/>
        </w:rPr>
        <w:t>merger</w:t>
      </w:r>
      <w:r w:rsidR="00196D4A">
        <w:rPr>
          <w:rFonts w:asciiTheme="minorHAnsi" w:hAnsiTheme="minorHAnsi" w:cs="Arial"/>
          <w:sz w:val="24"/>
          <w:szCs w:val="24"/>
        </w:rPr>
        <w:t xml:space="preserve"> has been </w:t>
      </w:r>
      <w:r w:rsidR="000F63B7" w:rsidRPr="00D021CC">
        <w:rPr>
          <w:rFonts w:asciiTheme="minorHAnsi" w:hAnsiTheme="minorHAnsi" w:cs="Arial"/>
          <w:sz w:val="24"/>
          <w:szCs w:val="24"/>
        </w:rPr>
        <w:t>approved without conditions.</w:t>
      </w:r>
    </w:p>
    <w:p w14:paraId="0C4121F5" w14:textId="77777777" w:rsidR="000F63B7" w:rsidRPr="00D021CC" w:rsidRDefault="000F63B7" w:rsidP="00196D4A">
      <w:pPr>
        <w:autoSpaceDE w:val="0"/>
        <w:autoSpaceDN w:val="0"/>
        <w:ind w:left="397" w:right="397"/>
        <w:rPr>
          <w:rFonts w:asciiTheme="minorHAnsi" w:hAnsiTheme="minorHAnsi" w:cs="Arial"/>
          <w:sz w:val="24"/>
          <w:szCs w:val="24"/>
          <w:lang w:val="en-GB"/>
        </w:rPr>
      </w:pPr>
    </w:p>
    <w:p w14:paraId="39C0630F" w14:textId="77777777" w:rsidR="00D8119B" w:rsidRPr="00D021CC" w:rsidRDefault="00D8119B" w:rsidP="00196D4A">
      <w:pPr>
        <w:autoSpaceDE w:val="0"/>
        <w:autoSpaceDN w:val="0"/>
        <w:ind w:left="397" w:right="397"/>
        <w:rPr>
          <w:rFonts w:asciiTheme="minorHAnsi" w:hAnsiTheme="minorHAnsi" w:cs="Arial"/>
          <w:b/>
          <w:sz w:val="24"/>
          <w:szCs w:val="24"/>
        </w:rPr>
      </w:pPr>
      <w:r w:rsidRPr="00D021CC">
        <w:rPr>
          <w:rFonts w:asciiTheme="minorHAnsi" w:hAnsiTheme="minorHAnsi" w:cs="Arial"/>
          <w:b/>
          <w:sz w:val="24"/>
          <w:szCs w:val="24"/>
        </w:rPr>
        <w:t xml:space="preserve">Rand Refinery consent agreement </w:t>
      </w:r>
      <w:r w:rsidR="00E60C25">
        <w:rPr>
          <w:rFonts w:asciiTheme="minorHAnsi" w:hAnsiTheme="minorHAnsi" w:cs="Arial"/>
          <w:b/>
          <w:sz w:val="24"/>
          <w:szCs w:val="24"/>
        </w:rPr>
        <w:t xml:space="preserve">confirmed </w:t>
      </w:r>
      <w:r w:rsidRPr="00D021CC">
        <w:rPr>
          <w:rFonts w:asciiTheme="minorHAnsi" w:hAnsiTheme="minorHAnsi" w:cs="Arial"/>
          <w:b/>
          <w:sz w:val="24"/>
          <w:szCs w:val="24"/>
        </w:rPr>
        <w:t>by the Tribunal</w:t>
      </w:r>
    </w:p>
    <w:p w14:paraId="24A512FD" w14:textId="77777777" w:rsidR="00D8119B" w:rsidRPr="00D021CC" w:rsidRDefault="00D8119B" w:rsidP="00196D4A">
      <w:pPr>
        <w:autoSpaceDE w:val="0"/>
        <w:autoSpaceDN w:val="0"/>
        <w:ind w:left="397" w:right="397"/>
        <w:rPr>
          <w:rFonts w:asciiTheme="minorHAnsi" w:hAnsiTheme="minorHAnsi" w:cs="Arial"/>
          <w:sz w:val="24"/>
          <w:szCs w:val="24"/>
        </w:rPr>
      </w:pPr>
    </w:p>
    <w:p w14:paraId="6BD633E6" w14:textId="77777777" w:rsidR="00D8119B" w:rsidRDefault="00D8119B" w:rsidP="00E60C25">
      <w:pPr>
        <w:autoSpaceDE w:val="0"/>
        <w:autoSpaceDN w:val="0"/>
        <w:ind w:left="397" w:right="397"/>
        <w:rPr>
          <w:rFonts w:asciiTheme="minorHAnsi" w:hAnsiTheme="minorHAnsi" w:cs="Arial"/>
          <w:sz w:val="24"/>
          <w:szCs w:val="24"/>
        </w:rPr>
      </w:pPr>
      <w:r w:rsidRPr="00D021CC">
        <w:rPr>
          <w:rFonts w:asciiTheme="minorHAnsi" w:hAnsiTheme="minorHAnsi" w:cs="Arial"/>
          <w:sz w:val="24"/>
          <w:szCs w:val="24"/>
        </w:rPr>
        <w:t>The Tribunal</w:t>
      </w:r>
      <w:r w:rsidR="00E60C25">
        <w:rPr>
          <w:rFonts w:asciiTheme="minorHAnsi" w:hAnsiTheme="minorHAnsi" w:cs="Arial"/>
          <w:sz w:val="24"/>
          <w:szCs w:val="24"/>
        </w:rPr>
        <w:t xml:space="preserve"> has confirmed a</w:t>
      </w:r>
      <w:r w:rsidRPr="00D021CC">
        <w:rPr>
          <w:rFonts w:asciiTheme="minorHAnsi" w:hAnsiTheme="minorHAnsi" w:cs="Arial"/>
          <w:sz w:val="24"/>
          <w:szCs w:val="24"/>
        </w:rPr>
        <w:t xml:space="preserve"> consent agreement between the Commission and Rand Refinery involving requirements that could limit the entrance of potential dealers of bullion Krugerrands in the South African numismatic industry.</w:t>
      </w:r>
    </w:p>
    <w:p w14:paraId="1391DD0B" w14:textId="77777777" w:rsidR="00E60C25" w:rsidRDefault="00E60C25" w:rsidP="00E60C25">
      <w:pPr>
        <w:autoSpaceDE w:val="0"/>
        <w:autoSpaceDN w:val="0"/>
        <w:ind w:left="397" w:right="397"/>
        <w:rPr>
          <w:rFonts w:asciiTheme="minorHAnsi" w:hAnsiTheme="minorHAnsi" w:cs="Arial"/>
          <w:sz w:val="24"/>
          <w:szCs w:val="24"/>
        </w:rPr>
      </w:pPr>
    </w:p>
    <w:p w14:paraId="5DD9A46B" w14:textId="77777777" w:rsidR="00E60C25" w:rsidRPr="00196D4A" w:rsidRDefault="00E60C25" w:rsidP="00E60C25">
      <w:pPr>
        <w:autoSpaceDE w:val="0"/>
        <w:autoSpaceDN w:val="0"/>
        <w:ind w:left="397" w:right="397"/>
        <w:rPr>
          <w:rFonts w:asciiTheme="minorHAnsi" w:hAnsiTheme="minorHAnsi" w:cs="Arial"/>
          <w:b/>
        </w:rPr>
      </w:pPr>
      <w:r w:rsidRPr="00196D4A">
        <w:rPr>
          <w:rFonts w:asciiTheme="minorHAnsi" w:hAnsiTheme="minorHAnsi" w:cs="Arial"/>
        </w:rPr>
        <w:t xml:space="preserve">In this matter there was no administrative penalty sought against Rand Refinery. The conduct </w:t>
      </w:r>
      <w:r>
        <w:rPr>
          <w:rFonts w:asciiTheme="minorHAnsi" w:hAnsiTheme="minorHAnsi" w:cs="Arial"/>
        </w:rPr>
        <w:t xml:space="preserve">falls </w:t>
      </w:r>
      <w:r w:rsidRPr="00196D4A">
        <w:rPr>
          <w:rFonts w:asciiTheme="minorHAnsi" w:hAnsiTheme="minorHAnsi" w:cs="Arial"/>
        </w:rPr>
        <w:t>under section 8 (</w:t>
      </w:r>
      <w:r w:rsidRPr="00196D4A">
        <w:rPr>
          <w:rFonts w:asciiTheme="minorHAnsi" w:hAnsiTheme="minorHAnsi" w:cs="Arial"/>
          <w:i/>
        </w:rPr>
        <w:t>c</w:t>
      </w:r>
      <w:r w:rsidRPr="00196D4A">
        <w:rPr>
          <w:rFonts w:asciiTheme="minorHAnsi" w:hAnsiTheme="minorHAnsi" w:cs="Arial"/>
        </w:rPr>
        <w:t>) of the Act which does not attract an administrative penalty unless the alleged conduct is substantially a repeat by the same firm of conduct previously found by the Tribunal to be a prohibited practice.</w:t>
      </w:r>
    </w:p>
    <w:p w14:paraId="01858A45" w14:textId="77777777" w:rsidR="00E60C25" w:rsidRPr="00D021CC" w:rsidRDefault="00E60C25" w:rsidP="00196D4A">
      <w:pPr>
        <w:autoSpaceDE w:val="0"/>
        <w:autoSpaceDN w:val="0"/>
        <w:ind w:left="397" w:right="397"/>
        <w:rPr>
          <w:rFonts w:asciiTheme="minorHAnsi" w:hAnsiTheme="minorHAnsi" w:cs="Arial"/>
          <w:sz w:val="24"/>
          <w:szCs w:val="24"/>
        </w:rPr>
      </w:pPr>
    </w:p>
    <w:p w14:paraId="7B163408" w14:textId="77777777" w:rsidR="00D8119B" w:rsidRPr="00D021CC" w:rsidRDefault="00D8119B" w:rsidP="00196D4A">
      <w:pPr>
        <w:autoSpaceDE w:val="0"/>
        <w:autoSpaceDN w:val="0"/>
        <w:ind w:left="397" w:right="397"/>
        <w:rPr>
          <w:rFonts w:asciiTheme="minorHAnsi" w:hAnsiTheme="minorHAnsi" w:cs="Arial"/>
          <w:sz w:val="24"/>
          <w:szCs w:val="24"/>
        </w:rPr>
      </w:pPr>
    </w:p>
    <w:p w14:paraId="1DD7153D" w14:textId="77777777" w:rsidR="00D8119B" w:rsidRDefault="00D8119B" w:rsidP="00196D4A">
      <w:pPr>
        <w:autoSpaceDE w:val="0"/>
        <w:autoSpaceDN w:val="0"/>
        <w:ind w:left="397" w:right="397"/>
        <w:rPr>
          <w:rFonts w:asciiTheme="minorHAnsi" w:hAnsiTheme="minorHAnsi" w:cs="Arial"/>
          <w:sz w:val="24"/>
          <w:szCs w:val="24"/>
        </w:rPr>
      </w:pPr>
      <w:r w:rsidRPr="00D021CC">
        <w:rPr>
          <w:rFonts w:asciiTheme="minorHAnsi" w:hAnsiTheme="minorHAnsi" w:cs="Arial"/>
          <w:sz w:val="24"/>
          <w:szCs w:val="24"/>
        </w:rPr>
        <w:lastRenderedPageBreak/>
        <w:t>Rand Refinery makes it a requirement that anyone wishing to deal in Krugerrands be a member of the South African Association of Numismatic Dealers (SAAND)</w:t>
      </w:r>
      <w:r w:rsidR="00E60C25">
        <w:rPr>
          <w:rFonts w:asciiTheme="minorHAnsi" w:hAnsiTheme="minorHAnsi" w:cs="Arial"/>
          <w:sz w:val="24"/>
          <w:szCs w:val="24"/>
        </w:rPr>
        <w:t xml:space="preserve"> a voluntary association of numismatic dealers.</w:t>
      </w:r>
      <w:r w:rsidRPr="00D021CC">
        <w:rPr>
          <w:rFonts w:asciiTheme="minorHAnsi" w:hAnsiTheme="minorHAnsi" w:cs="Arial"/>
          <w:sz w:val="24"/>
          <w:szCs w:val="24"/>
        </w:rPr>
        <w:t xml:space="preserve"> The Commission found that t</w:t>
      </w:r>
      <w:r w:rsidR="00E60C25">
        <w:rPr>
          <w:rFonts w:asciiTheme="minorHAnsi" w:hAnsiTheme="minorHAnsi" w:cs="Arial"/>
          <w:sz w:val="24"/>
          <w:szCs w:val="24"/>
        </w:rPr>
        <w:t>his requirement is exclusionary</w:t>
      </w:r>
      <w:r w:rsidRPr="00D021CC">
        <w:rPr>
          <w:rFonts w:asciiTheme="minorHAnsi" w:hAnsiTheme="minorHAnsi" w:cs="Arial"/>
          <w:sz w:val="24"/>
          <w:szCs w:val="24"/>
        </w:rPr>
        <w:t xml:space="preserve"> as provisions in SAAND’s constitution allows incumbent association members to frustrate the entrance of prospective members into SAAND – the offending provisions are: full membership shall be both proposed and seconded by two member firms of good standing and SAAND may deny membership to any prospective dealer of bullion Krugerrands without its Executive Committee being under any obligation to disclose its reasons.</w:t>
      </w:r>
    </w:p>
    <w:p w14:paraId="5F568D9D" w14:textId="77777777" w:rsidR="00770875" w:rsidRDefault="00770875" w:rsidP="00196D4A">
      <w:pPr>
        <w:autoSpaceDE w:val="0"/>
        <w:autoSpaceDN w:val="0"/>
        <w:ind w:left="397" w:right="397"/>
        <w:rPr>
          <w:rFonts w:asciiTheme="minorHAnsi" w:hAnsiTheme="minorHAnsi" w:cs="Arial"/>
          <w:sz w:val="24"/>
          <w:szCs w:val="24"/>
        </w:rPr>
      </w:pPr>
    </w:p>
    <w:p w14:paraId="1683B2AE" w14:textId="77777777" w:rsidR="00D8119B" w:rsidRPr="00D021CC" w:rsidRDefault="00D8119B" w:rsidP="00196D4A">
      <w:pPr>
        <w:autoSpaceDE w:val="0"/>
        <w:autoSpaceDN w:val="0"/>
        <w:ind w:left="397" w:right="397"/>
        <w:rPr>
          <w:rFonts w:asciiTheme="minorHAnsi" w:hAnsiTheme="minorHAnsi" w:cs="Arial"/>
          <w:sz w:val="24"/>
          <w:szCs w:val="24"/>
        </w:rPr>
      </w:pPr>
      <w:r w:rsidRPr="00D021CC">
        <w:rPr>
          <w:rFonts w:asciiTheme="minorHAnsi" w:hAnsiTheme="minorHAnsi" w:cs="Arial"/>
          <w:sz w:val="24"/>
          <w:szCs w:val="24"/>
        </w:rPr>
        <w:t>The Commission found that these provisions in SAAND create artificial barriers to entry for any prospective dealers. It felt that legal requirements in terms of FICA certificates, SARS registrations and SAPS clearance are sufficient to establish authenticity of dealers.</w:t>
      </w:r>
    </w:p>
    <w:p w14:paraId="556A6D3D" w14:textId="77777777" w:rsidR="00D8119B" w:rsidRPr="00D021CC" w:rsidRDefault="00D8119B" w:rsidP="00196D4A">
      <w:pPr>
        <w:autoSpaceDE w:val="0"/>
        <w:autoSpaceDN w:val="0"/>
        <w:ind w:left="397" w:right="397"/>
        <w:rPr>
          <w:rFonts w:asciiTheme="minorHAnsi" w:hAnsiTheme="minorHAnsi" w:cs="Arial"/>
          <w:sz w:val="24"/>
          <w:szCs w:val="24"/>
        </w:rPr>
      </w:pPr>
    </w:p>
    <w:p w14:paraId="6EEDA78E" w14:textId="77777777" w:rsidR="00D8119B" w:rsidRDefault="00D8119B" w:rsidP="00196D4A">
      <w:pPr>
        <w:autoSpaceDE w:val="0"/>
        <w:autoSpaceDN w:val="0"/>
        <w:ind w:left="397" w:right="397"/>
        <w:rPr>
          <w:rFonts w:asciiTheme="minorHAnsi" w:hAnsiTheme="minorHAnsi" w:cs="Arial"/>
          <w:sz w:val="24"/>
          <w:szCs w:val="24"/>
        </w:rPr>
      </w:pPr>
      <w:r w:rsidRPr="00D021CC">
        <w:rPr>
          <w:rFonts w:asciiTheme="minorHAnsi" w:hAnsiTheme="minorHAnsi" w:cs="Arial"/>
          <w:sz w:val="24"/>
          <w:szCs w:val="24"/>
        </w:rPr>
        <w:t>Rand Refinery has undertaken to remove the offending provisions in SAAND’s application form, on its website and will no longer require existing or prospective bullion Krugerrand dealers to be members of SAAND.</w:t>
      </w:r>
    </w:p>
    <w:p w14:paraId="2E41F018" w14:textId="77777777" w:rsidR="00770875" w:rsidRDefault="00770875" w:rsidP="00196D4A">
      <w:pPr>
        <w:autoSpaceDE w:val="0"/>
        <w:autoSpaceDN w:val="0"/>
        <w:ind w:left="397" w:right="397"/>
        <w:rPr>
          <w:rFonts w:asciiTheme="minorHAnsi" w:hAnsiTheme="minorHAnsi" w:cs="Arial"/>
          <w:sz w:val="24"/>
          <w:szCs w:val="24"/>
        </w:rPr>
      </w:pPr>
    </w:p>
    <w:p w14:paraId="32A485C9" w14:textId="77777777" w:rsidR="00770875" w:rsidRPr="00E60C25" w:rsidRDefault="00770875" w:rsidP="00196D4A">
      <w:pPr>
        <w:autoSpaceDE w:val="0"/>
        <w:autoSpaceDN w:val="0"/>
        <w:ind w:left="397" w:right="397"/>
        <w:rPr>
          <w:rFonts w:asciiTheme="minorHAnsi" w:hAnsiTheme="minorHAnsi" w:cs="Arial"/>
          <w:b/>
          <w:sz w:val="24"/>
          <w:szCs w:val="24"/>
        </w:rPr>
      </w:pPr>
      <w:r w:rsidRPr="00E60C25">
        <w:rPr>
          <w:rFonts w:asciiTheme="minorHAnsi" w:hAnsiTheme="minorHAnsi" w:cs="Arial"/>
          <w:b/>
          <w:sz w:val="24"/>
          <w:szCs w:val="24"/>
        </w:rPr>
        <w:t>Background:</w:t>
      </w:r>
    </w:p>
    <w:p w14:paraId="6CAD4B48" w14:textId="77777777" w:rsidR="00770875" w:rsidRDefault="00770875" w:rsidP="00196D4A">
      <w:pPr>
        <w:autoSpaceDE w:val="0"/>
        <w:autoSpaceDN w:val="0"/>
        <w:ind w:left="397" w:right="397"/>
        <w:rPr>
          <w:rFonts w:asciiTheme="minorHAnsi" w:hAnsiTheme="minorHAnsi" w:cs="Arial"/>
          <w:sz w:val="24"/>
          <w:szCs w:val="24"/>
        </w:rPr>
      </w:pPr>
      <w:r>
        <w:rPr>
          <w:rFonts w:asciiTheme="minorHAnsi" w:hAnsiTheme="minorHAnsi" w:cs="Arial"/>
          <w:sz w:val="24"/>
          <w:szCs w:val="24"/>
        </w:rPr>
        <w:t>Rand Refinery and the South African Mint jointly manage the business of th</w:t>
      </w:r>
      <w:r w:rsidR="00E60C25">
        <w:rPr>
          <w:rFonts w:asciiTheme="minorHAnsi" w:hAnsiTheme="minorHAnsi" w:cs="Arial"/>
          <w:sz w:val="24"/>
          <w:szCs w:val="24"/>
        </w:rPr>
        <w:t>e bullion Krugerrand through an</w:t>
      </w:r>
      <w:r>
        <w:rPr>
          <w:rFonts w:asciiTheme="minorHAnsi" w:hAnsiTheme="minorHAnsi" w:cs="Arial"/>
          <w:sz w:val="24"/>
          <w:szCs w:val="24"/>
        </w:rPr>
        <w:t xml:space="preserve"> incorporated joint venture named Prestige Bullion. Prestige Bullion tasks Rand Refinery to manage the sales and marketing of bullion Krugerrand. To this end Rand Refinery is the sole supplier of bullion Krugerrands to primary dealers in South Africa and abroad.</w:t>
      </w:r>
    </w:p>
    <w:p w14:paraId="4F2DEC23" w14:textId="77777777" w:rsidR="00770875" w:rsidRDefault="00770875" w:rsidP="00196D4A">
      <w:pPr>
        <w:autoSpaceDE w:val="0"/>
        <w:autoSpaceDN w:val="0"/>
        <w:ind w:left="397" w:right="397"/>
        <w:rPr>
          <w:rFonts w:asciiTheme="minorHAnsi" w:hAnsiTheme="minorHAnsi" w:cs="Arial"/>
          <w:sz w:val="24"/>
          <w:szCs w:val="24"/>
        </w:rPr>
      </w:pPr>
    </w:p>
    <w:p w14:paraId="2FC8D29B" w14:textId="77777777" w:rsidR="00770875" w:rsidRDefault="00770875" w:rsidP="00E60C25">
      <w:pPr>
        <w:autoSpaceDE w:val="0"/>
        <w:autoSpaceDN w:val="0"/>
        <w:ind w:left="397" w:right="397"/>
        <w:rPr>
          <w:rFonts w:asciiTheme="minorHAnsi" w:hAnsiTheme="minorHAnsi" w:cs="Arial"/>
          <w:sz w:val="24"/>
          <w:szCs w:val="24"/>
        </w:rPr>
      </w:pPr>
      <w:r>
        <w:rPr>
          <w:rFonts w:asciiTheme="minorHAnsi" w:hAnsiTheme="minorHAnsi" w:cs="Arial"/>
          <w:sz w:val="24"/>
          <w:szCs w:val="24"/>
        </w:rPr>
        <w:t xml:space="preserve">Rand Refinery does not sell Krugerrands directly to the public but distributes </w:t>
      </w:r>
      <w:r w:rsidR="00196D4A">
        <w:rPr>
          <w:rFonts w:asciiTheme="minorHAnsi" w:hAnsiTheme="minorHAnsi" w:cs="Arial"/>
          <w:sz w:val="24"/>
          <w:szCs w:val="24"/>
        </w:rPr>
        <w:t xml:space="preserve">Krugerrands through authorised primary dealers who sell on to the public. Primary Krugerrand </w:t>
      </w:r>
      <w:proofErr w:type="gramStart"/>
      <w:r w:rsidR="00196D4A">
        <w:rPr>
          <w:rFonts w:asciiTheme="minorHAnsi" w:hAnsiTheme="minorHAnsi" w:cs="Arial"/>
          <w:sz w:val="24"/>
          <w:szCs w:val="24"/>
        </w:rPr>
        <w:t>dealers</w:t>
      </w:r>
      <w:proofErr w:type="gramEnd"/>
      <w:r w:rsidR="00196D4A">
        <w:rPr>
          <w:rFonts w:asciiTheme="minorHAnsi" w:hAnsiTheme="minorHAnsi" w:cs="Arial"/>
          <w:sz w:val="24"/>
          <w:szCs w:val="24"/>
        </w:rPr>
        <w:t xml:space="preserve"> range for banks, financial service providers, jewellery shops and coin dealers.</w:t>
      </w:r>
    </w:p>
    <w:p w14:paraId="4644609F" w14:textId="77777777" w:rsidR="00E60C25" w:rsidRDefault="00E60C25" w:rsidP="00E60C25">
      <w:pPr>
        <w:autoSpaceDE w:val="0"/>
        <w:autoSpaceDN w:val="0"/>
        <w:ind w:left="397" w:right="397"/>
        <w:rPr>
          <w:rFonts w:asciiTheme="minorHAnsi" w:hAnsiTheme="minorHAnsi" w:cs="Arial"/>
          <w:sz w:val="24"/>
          <w:szCs w:val="24"/>
        </w:rPr>
      </w:pPr>
    </w:p>
    <w:p w14:paraId="483B8535" w14:textId="77777777" w:rsidR="00D8119B" w:rsidRPr="00D021CC" w:rsidRDefault="00D8119B" w:rsidP="00E60C25">
      <w:pPr>
        <w:pStyle w:val="ListParagraph"/>
        <w:numPr>
          <w:ilvl w:val="0"/>
          <w:numId w:val="5"/>
        </w:numPr>
        <w:autoSpaceDE w:val="0"/>
        <w:autoSpaceDN w:val="0"/>
        <w:ind w:left="754" w:right="397" w:hanging="357"/>
        <w:rPr>
          <w:rFonts w:asciiTheme="minorHAnsi" w:hAnsiTheme="minorHAnsi" w:cs="Arial"/>
          <w:sz w:val="24"/>
          <w:szCs w:val="24"/>
        </w:rPr>
      </w:pPr>
      <w:r w:rsidRPr="00D021CC">
        <w:rPr>
          <w:rStyle w:val="Emphasis"/>
          <w:rFonts w:asciiTheme="minorHAnsi" w:hAnsiTheme="minorHAnsi" w:cs="Arial"/>
          <w:bCs/>
          <w:i w:val="0"/>
          <w:iCs w:val="0"/>
          <w:sz w:val="24"/>
          <w:szCs w:val="24"/>
          <w:shd w:val="clear" w:color="auto" w:fill="FFFFFF"/>
        </w:rPr>
        <w:t xml:space="preserve">Numismatic sector: involves the </w:t>
      </w:r>
      <w:r w:rsidRPr="00D021CC">
        <w:rPr>
          <w:rFonts w:asciiTheme="minorHAnsi" w:hAnsiTheme="minorHAnsi" w:cs="Arial"/>
          <w:sz w:val="24"/>
          <w:szCs w:val="24"/>
          <w:shd w:val="clear" w:color="auto" w:fill="FFFFFF"/>
        </w:rPr>
        <w:t>study or collection of coins, tokens, paper money and related objects such as medals.</w:t>
      </w:r>
    </w:p>
    <w:p w14:paraId="2E722D1A" w14:textId="77777777" w:rsidR="00D021CC" w:rsidRPr="00D021CC" w:rsidRDefault="00D021CC" w:rsidP="00196D4A">
      <w:pPr>
        <w:autoSpaceDE w:val="0"/>
        <w:autoSpaceDN w:val="0"/>
        <w:ind w:left="397" w:right="397"/>
        <w:rPr>
          <w:rFonts w:asciiTheme="minorHAnsi" w:hAnsiTheme="minorHAnsi" w:cs="Arial"/>
          <w:sz w:val="24"/>
          <w:szCs w:val="24"/>
        </w:rPr>
      </w:pPr>
    </w:p>
    <w:p w14:paraId="6D391908"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Issued by:</w:t>
      </w:r>
    </w:p>
    <w:p w14:paraId="428238E6" w14:textId="77777777" w:rsidR="00D021CC" w:rsidRPr="00D021CC" w:rsidRDefault="00D021CC" w:rsidP="00196D4A">
      <w:pPr>
        <w:ind w:left="397" w:right="397"/>
        <w:rPr>
          <w:rFonts w:asciiTheme="minorHAnsi" w:hAnsiTheme="minorHAnsi" w:cs="Arial"/>
          <w:color w:val="000000"/>
          <w:sz w:val="24"/>
          <w:szCs w:val="24"/>
          <w:lang w:eastAsia="en-ZA"/>
        </w:rPr>
      </w:pPr>
      <w:r w:rsidRPr="00D021CC">
        <w:rPr>
          <w:rFonts w:asciiTheme="minorHAnsi" w:hAnsiTheme="minorHAnsi" w:cs="Arial"/>
          <w:color w:val="000000"/>
          <w:sz w:val="24"/>
          <w:szCs w:val="24"/>
          <w:lang w:eastAsia="en-ZA"/>
        </w:rPr>
        <w:t>Chantelle Benjamin</w:t>
      </w:r>
    </w:p>
    <w:p w14:paraId="18CDA619" w14:textId="77777777" w:rsidR="00D021CC" w:rsidRPr="00D021CC" w:rsidRDefault="00D021CC" w:rsidP="00196D4A">
      <w:pPr>
        <w:ind w:left="397" w:right="397"/>
        <w:rPr>
          <w:rFonts w:asciiTheme="minorHAnsi" w:hAnsiTheme="minorHAnsi" w:cs="Arial"/>
          <w:color w:val="000000"/>
          <w:sz w:val="24"/>
          <w:szCs w:val="24"/>
          <w:lang w:eastAsia="en-ZA"/>
        </w:rPr>
      </w:pPr>
      <w:r w:rsidRPr="00D021CC">
        <w:rPr>
          <w:rFonts w:asciiTheme="minorHAnsi" w:hAnsiTheme="minorHAnsi" w:cs="Arial"/>
          <w:color w:val="000000"/>
          <w:sz w:val="24"/>
          <w:szCs w:val="24"/>
          <w:lang w:eastAsia="en-ZA"/>
        </w:rPr>
        <w:t>Communications: Competition Tribunal</w:t>
      </w:r>
    </w:p>
    <w:p w14:paraId="2469DF0E" w14:textId="77777777" w:rsidR="00D021CC" w:rsidRPr="00D021CC" w:rsidRDefault="00D021CC" w:rsidP="00196D4A">
      <w:pPr>
        <w:ind w:left="397" w:right="397"/>
        <w:rPr>
          <w:rFonts w:asciiTheme="minorHAnsi" w:hAnsiTheme="minorHAnsi" w:cs="Arial"/>
          <w:color w:val="000000"/>
          <w:sz w:val="24"/>
          <w:szCs w:val="24"/>
          <w:lang w:eastAsia="en-ZA"/>
        </w:rPr>
      </w:pPr>
      <w:r w:rsidRPr="00D021CC">
        <w:rPr>
          <w:rFonts w:asciiTheme="minorHAnsi" w:hAnsiTheme="minorHAnsi" w:cs="Arial"/>
          <w:color w:val="000000"/>
          <w:sz w:val="24"/>
          <w:szCs w:val="24"/>
          <w:lang w:eastAsia="en-ZA"/>
        </w:rPr>
        <w:t>Tel (012)394 1383</w:t>
      </w:r>
    </w:p>
    <w:p w14:paraId="0C9EEAFD" w14:textId="77777777" w:rsidR="00D021CC" w:rsidRPr="00D021CC" w:rsidRDefault="00D021CC" w:rsidP="00196D4A">
      <w:pPr>
        <w:ind w:left="397" w:right="397"/>
        <w:rPr>
          <w:rFonts w:asciiTheme="minorHAnsi" w:hAnsiTheme="minorHAnsi" w:cs="Arial"/>
          <w:color w:val="000000"/>
          <w:sz w:val="24"/>
          <w:szCs w:val="24"/>
          <w:lang w:eastAsia="en-ZA"/>
        </w:rPr>
      </w:pPr>
      <w:r w:rsidRPr="00D021CC">
        <w:rPr>
          <w:rFonts w:asciiTheme="minorHAnsi" w:hAnsiTheme="minorHAnsi" w:cs="Arial"/>
          <w:color w:val="000000"/>
          <w:sz w:val="24"/>
          <w:szCs w:val="24"/>
          <w:lang w:eastAsia="en-ZA"/>
        </w:rPr>
        <w:t>Cell: +27 (0) 73 007 5603</w:t>
      </w:r>
    </w:p>
    <w:p w14:paraId="47A9A9A7"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Twitter: @comptrib</w:t>
      </w:r>
    </w:p>
    <w:p w14:paraId="52DE38EB" w14:textId="77777777" w:rsidR="00D021CC" w:rsidRPr="00D021CC" w:rsidRDefault="00D021CC" w:rsidP="00196D4A">
      <w:pPr>
        <w:ind w:left="397" w:right="397"/>
        <w:rPr>
          <w:rFonts w:asciiTheme="minorHAnsi" w:hAnsiTheme="minorHAnsi" w:cs="Arial"/>
          <w:sz w:val="24"/>
          <w:szCs w:val="24"/>
        </w:rPr>
      </w:pPr>
      <w:r w:rsidRPr="00D021CC">
        <w:rPr>
          <w:rFonts w:asciiTheme="minorHAnsi" w:hAnsiTheme="minorHAnsi" w:cs="Arial"/>
          <w:color w:val="000000"/>
          <w:sz w:val="24"/>
          <w:szCs w:val="24"/>
          <w:lang w:eastAsia="en-ZA"/>
        </w:rPr>
        <w:t xml:space="preserve">E-Mail: </w:t>
      </w:r>
      <w:hyperlink r:id="rId8" w:history="1">
        <w:r w:rsidRPr="00D021CC">
          <w:rPr>
            <w:rStyle w:val="Hyperlink"/>
            <w:rFonts w:asciiTheme="minorHAnsi" w:hAnsiTheme="minorHAnsi" w:cs="Arial"/>
            <w:sz w:val="24"/>
            <w:szCs w:val="24"/>
            <w:lang w:eastAsia="en-ZA"/>
          </w:rPr>
          <w:t>chantelleb@comptrib.co.za</w:t>
        </w:r>
      </w:hyperlink>
    </w:p>
    <w:p w14:paraId="323A73A0" w14:textId="77777777" w:rsidR="00D021CC" w:rsidRPr="00D021CC" w:rsidRDefault="00D021CC" w:rsidP="00196D4A">
      <w:pPr>
        <w:ind w:left="397" w:right="397"/>
        <w:rPr>
          <w:rFonts w:asciiTheme="minorHAnsi" w:hAnsiTheme="minorHAnsi" w:cs="Arial"/>
          <w:color w:val="000000"/>
          <w:sz w:val="24"/>
          <w:szCs w:val="24"/>
        </w:rPr>
      </w:pPr>
    </w:p>
    <w:p w14:paraId="07729C51" w14:textId="77777777" w:rsidR="00D021CC" w:rsidRPr="00D021CC" w:rsidRDefault="00D021CC" w:rsidP="00196D4A">
      <w:pPr>
        <w:ind w:left="397" w:right="397"/>
        <w:rPr>
          <w:rFonts w:asciiTheme="minorHAnsi" w:hAnsiTheme="minorHAnsi" w:cs="Arial"/>
          <w:color w:val="000000"/>
          <w:sz w:val="24"/>
          <w:szCs w:val="24"/>
        </w:rPr>
      </w:pPr>
    </w:p>
    <w:p w14:paraId="52E38513"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On Behalf Of:</w:t>
      </w:r>
    </w:p>
    <w:p w14:paraId="7D7505D6"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Lerato Motaung</w:t>
      </w:r>
    </w:p>
    <w:p w14:paraId="0D6DDE14"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Registrar: Competition Tribunal</w:t>
      </w:r>
    </w:p>
    <w:p w14:paraId="4AED5824"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t>Tel: (012) 394 3355</w:t>
      </w:r>
    </w:p>
    <w:p w14:paraId="0E5B43BC" w14:textId="77777777" w:rsidR="00D021CC" w:rsidRPr="00D021CC" w:rsidRDefault="00D021CC" w:rsidP="00196D4A">
      <w:pPr>
        <w:ind w:left="397" w:right="397"/>
        <w:rPr>
          <w:rFonts w:asciiTheme="minorHAnsi" w:hAnsiTheme="minorHAnsi" w:cs="Arial"/>
          <w:sz w:val="24"/>
          <w:szCs w:val="24"/>
          <w:lang w:eastAsia="en-ZA"/>
        </w:rPr>
      </w:pPr>
      <w:r w:rsidRPr="00D021CC">
        <w:rPr>
          <w:rFonts w:asciiTheme="minorHAnsi" w:hAnsiTheme="minorHAnsi" w:cs="Arial"/>
          <w:color w:val="000000"/>
          <w:sz w:val="24"/>
          <w:szCs w:val="24"/>
          <w:lang w:eastAsia="en-ZA"/>
        </w:rPr>
        <w:lastRenderedPageBreak/>
        <w:t>Cell: +27 (0) 82 556 3221</w:t>
      </w:r>
    </w:p>
    <w:p w14:paraId="5E4230ED" w14:textId="77777777" w:rsidR="00D021CC" w:rsidRPr="00D021CC" w:rsidRDefault="00D021CC" w:rsidP="00196D4A">
      <w:pPr>
        <w:ind w:left="397" w:right="397"/>
        <w:rPr>
          <w:rFonts w:asciiTheme="minorHAnsi" w:hAnsiTheme="minorHAnsi" w:cs="Arial"/>
          <w:sz w:val="24"/>
          <w:szCs w:val="24"/>
        </w:rPr>
      </w:pPr>
      <w:r w:rsidRPr="00D021CC">
        <w:rPr>
          <w:rFonts w:asciiTheme="minorHAnsi" w:hAnsiTheme="minorHAnsi" w:cs="Arial"/>
          <w:color w:val="000000"/>
          <w:sz w:val="24"/>
          <w:szCs w:val="24"/>
          <w:lang w:eastAsia="en-ZA"/>
        </w:rPr>
        <w:t xml:space="preserve">E-Mail: </w:t>
      </w:r>
      <w:hyperlink r:id="rId9" w:history="1">
        <w:r w:rsidRPr="00D021CC">
          <w:rPr>
            <w:rStyle w:val="Hyperlink"/>
            <w:rFonts w:asciiTheme="minorHAnsi" w:hAnsiTheme="minorHAnsi" w:cs="Arial"/>
            <w:sz w:val="24"/>
            <w:szCs w:val="24"/>
            <w:lang w:eastAsia="en-ZA"/>
          </w:rPr>
          <w:t>LeratoM@comptrib.co.za</w:t>
        </w:r>
      </w:hyperlink>
    </w:p>
    <w:p w14:paraId="2C5BE5B1" w14:textId="77777777" w:rsidR="00D021CC" w:rsidRPr="00D021CC" w:rsidRDefault="00D021CC" w:rsidP="00D021CC">
      <w:pPr>
        <w:autoSpaceDE w:val="0"/>
        <w:autoSpaceDN w:val="0"/>
        <w:spacing w:line="276" w:lineRule="auto"/>
        <w:jc w:val="both"/>
        <w:rPr>
          <w:rFonts w:asciiTheme="minorHAnsi" w:hAnsiTheme="minorHAnsi" w:cs="Arial"/>
        </w:rPr>
      </w:pPr>
    </w:p>
    <w:p w14:paraId="5C8778DD" w14:textId="77777777" w:rsidR="00533812" w:rsidRPr="00D021CC" w:rsidRDefault="00533812" w:rsidP="00533812">
      <w:pPr>
        <w:spacing w:line="276" w:lineRule="auto"/>
        <w:jc w:val="both"/>
        <w:rPr>
          <w:rFonts w:asciiTheme="minorHAnsi" w:hAnsiTheme="minorHAnsi" w:cs="Arial"/>
          <w:lang w:val="en-GB"/>
        </w:rPr>
      </w:pPr>
    </w:p>
    <w:p w14:paraId="54348DA7" w14:textId="77777777" w:rsidR="00533812" w:rsidRDefault="00533812" w:rsidP="006304F4">
      <w:pPr>
        <w:spacing w:line="276" w:lineRule="auto"/>
        <w:jc w:val="both"/>
        <w:rPr>
          <w:rFonts w:ascii="Arial" w:hAnsi="Arial" w:cs="Arial"/>
          <w:lang w:val="en-GB"/>
        </w:rPr>
      </w:pPr>
    </w:p>
    <w:p w14:paraId="7F2B1190" w14:textId="77777777" w:rsidR="006304F4" w:rsidRDefault="006304F4"/>
    <w:sectPr w:rsidR="006304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E03D7" w14:textId="77777777" w:rsidR="00BD28BF" w:rsidRDefault="00BD28BF" w:rsidP="00196D4A">
      <w:r>
        <w:separator/>
      </w:r>
    </w:p>
  </w:endnote>
  <w:endnote w:type="continuationSeparator" w:id="0">
    <w:p w14:paraId="40B2D68C" w14:textId="77777777" w:rsidR="00BD28BF" w:rsidRDefault="00BD28BF" w:rsidP="0019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4029F" w14:textId="77777777" w:rsidR="00BD28BF" w:rsidRDefault="00BD28BF" w:rsidP="00196D4A">
      <w:r>
        <w:separator/>
      </w:r>
    </w:p>
  </w:footnote>
  <w:footnote w:type="continuationSeparator" w:id="0">
    <w:p w14:paraId="58B3EF32" w14:textId="77777777" w:rsidR="00BD28BF" w:rsidRDefault="00BD28BF" w:rsidP="00196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28DF"/>
    <w:multiLevelType w:val="hybridMultilevel"/>
    <w:tmpl w:val="2D7067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5A604A"/>
    <w:multiLevelType w:val="hybridMultilevel"/>
    <w:tmpl w:val="E7262DEE"/>
    <w:lvl w:ilvl="0" w:tplc="095A2912">
      <w:start w:val="5"/>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CA07E86"/>
    <w:multiLevelType w:val="hybridMultilevel"/>
    <w:tmpl w:val="746CE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4F4"/>
    <w:rsid w:val="000F63B7"/>
    <w:rsid w:val="001172E5"/>
    <w:rsid w:val="00196D4A"/>
    <w:rsid w:val="001C774A"/>
    <w:rsid w:val="003C165A"/>
    <w:rsid w:val="0041284C"/>
    <w:rsid w:val="00482491"/>
    <w:rsid w:val="004C0A53"/>
    <w:rsid w:val="004F4414"/>
    <w:rsid w:val="00533812"/>
    <w:rsid w:val="006304F4"/>
    <w:rsid w:val="006B0C0C"/>
    <w:rsid w:val="0076601B"/>
    <w:rsid w:val="00770875"/>
    <w:rsid w:val="009D3DBD"/>
    <w:rsid w:val="00B34CD9"/>
    <w:rsid w:val="00BD28BF"/>
    <w:rsid w:val="00D021CC"/>
    <w:rsid w:val="00D8118A"/>
    <w:rsid w:val="00D8119B"/>
    <w:rsid w:val="00E60C25"/>
    <w:rsid w:val="00F375FC"/>
    <w:rsid w:val="00FB33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F0A5"/>
  <w15:chartTrackingRefBased/>
  <w15:docId w15:val="{9D32DDE4-0D64-40D8-916D-24B43EBAA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4F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DBD"/>
    <w:pPr>
      <w:ind w:left="720"/>
      <w:contextualSpacing/>
    </w:pPr>
  </w:style>
  <w:style w:type="character" w:styleId="Emphasis">
    <w:name w:val="Emphasis"/>
    <w:basedOn w:val="DefaultParagraphFont"/>
    <w:uiPriority w:val="20"/>
    <w:qFormat/>
    <w:rsid w:val="009D3DBD"/>
    <w:rPr>
      <w:i/>
      <w:iCs/>
    </w:rPr>
  </w:style>
  <w:style w:type="table" w:styleId="TableGrid">
    <w:name w:val="Table Grid"/>
    <w:basedOn w:val="TableNormal"/>
    <w:uiPriority w:val="59"/>
    <w:rsid w:val="00766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601B"/>
    <w:rPr>
      <w:color w:val="0000FF"/>
      <w:u w:val="single"/>
    </w:rPr>
  </w:style>
  <w:style w:type="paragraph" w:styleId="FootnoteText">
    <w:name w:val="footnote text"/>
    <w:basedOn w:val="Normal"/>
    <w:link w:val="FootnoteTextChar"/>
    <w:uiPriority w:val="99"/>
    <w:semiHidden/>
    <w:unhideWhenUsed/>
    <w:rsid w:val="00196D4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96D4A"/>
    <w:rPr>
      <w:sz w:val="20"/>
      <w:szCs w:val="20"/>
    </w:rPr>
  </w:style>
  <w:style w:type="character" w:styleId="FootnoteReference">
    <w:name w:val="footnote reference"/>
    <w:basedOn w:val="DefaultParagraphFont"/>
    <w:uiPriority w:val="99"/>
    <w:semiHidden/>
    <w:unhideWhenUsed/>
    <w:rsid w:val="00196D4A"/>
    <w:rPr>
      <w:vertAlign w:val="superscript"/>
    </w:rPr>
  </w:style>
  <w:style w:type="paragraph" w:styleId="BalloonText">
    <w:name w:val="Balloon Text"/>
    <w:basedOn w:val="Normal"/>
    <w:link w:val="BalloonTextChar"/>
    <w:uiPriority w:val="99"/>
    <w:semiHidden/>
    <w:unhideWhenUsed/>
    <w:rsid w:val="00D81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160276">
      <w:bodyDiv w:val="1"/>
      <w:marLeft w:val="0"/>
      <w:marRight w:val="0"/>
      <w:marTop w:val="0"/>
      <w:marBottom w:val="0"/>
      <w:divBdr>
        <w:top w:val="none" w:sz="0" w:space="0" w:color="auto"/>
        <w:left w:val="none" w:sz="0" w:space="0" w:color="auto"/>
        <w:bottom w:val="none" w:sz="0" w:space="0" w:color="auto"/>
        <w:right w:val="none" w:sz="0" w:space="0" w:color="auto"/>
      </w:divBdr>
    </w:div>
    <w:div w:id="754060730">
      <w:bodyDiv w:val="1"/>
      <w:marLeft w:val="0"/>
      <w:marRight w:val="0"/>
      <w:marTop w:val="0"/>
      <w:marBottom w:val="0"/>
      <w:divBdr>
        <w:top w:val="none" w:sz="0" w:space="0" w:color="auto"/>
        <w:left w:val="none" w:sz="0" w:space="0" w:color="auto"/>
        <w:bottom w:val="none" w:sz="0" w:space="0" w:color="auto"/>
        <w:right w:val="none" w:sz="0" w:space="0" w:color="auto"/>
      </w:divBdr>
    </w:div>
    <w:div w:id="950481112">
      <w:bodyDiv w:val="1"/>
      <w:marLeft w:val="0"/>
      <w:marRight w:val="0"/>
      <w:marTop w:val="0"/>
      <w:marBottom w:val="0"/>
      <w:divBdr>
        <w:top w:val="none" w:sz="0" w:space="0" w:color="auto"/>
        <w:left w:val="none" w:sz="0" w:space="0" w:color="auto"/>
        <w:bottom w:val="none" w:sz="0" w:space="0" w:color="auto"/>
        <w:right w:val="none" w:sz="0" w:space="0" w:color="auto"/>
      </w:divBdr>
    </w:div>
    <w:div w:id="1160773718">
      <w:bodyDiv w:val="1"/>
      <w:marLeft w:val="0"/>
      <w:marRight w:val="0"/>
      <w:marTop w:val="0"/>
      <w:marBottom w:val="0"/>
      <w:divBdr>
        <w:top w:val="none" w:sz="0" w:space="0" w:color="auto"/>
        <w:left w:val="none" w:sz="0" w:space="0" w:color="auto"/>
        <w:bottom w:val="none" w:sz="0" w:space="0" w:color="auto"/>
        <w:right w:val="none" w:sz="0" w:space="0" w:color="auto"/>
      </w:divBdr>
    </w:div>
    <w:div w:id="14893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2019-04-24T18:19:00Z</dcterms:created>
  <dcterms:modified xsi:type="dcterms:W3CDTF">2019-04-24T18:19:00Z</dcterms:modified>
</cp:coreProperties>
</file>